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Nomination Letter / Auftragsbestaetigung Stellantis N.V. – Powertrain-ECU Gen3 (ECU-900) (2022)</w:t>
      </w:r>
    </w:p>
    <w:p>
      <w:pPr>
        <w:jc w:val="center"/>
      </w:pPr>
      <w:r>
        <w:t>Verbindliche Programmvergabe an Brennhagen Elektronik AG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STE-ECU-900-RFQ-2022 vom Februar 2022; Angebot Brennhagen vom 15. April 2022; Nachverhandlung 12. Mai 2022 (Teilnehmer Brennhagen: Stefan Richter CMO, n. n. Programm-Manager; Kunde: Mme. Catherine Mercier, Global Commodity Manager Electronics).</w:t>
      </w:r>
    </w:p>
    <w:p>
      <w:pPr>
        <w:pStyle w:val="Heading3"/>
      </w:pPr>
      <w:r>
        <w:t>Programm-Vergabe</w:t>
      </w:r>
    </w:p>
    <w:p>
      <w:r>
        <w:t>Hiermit bestaetigt Stellantis N.V. (vertreten durch FCA Italy S.p.A. und PSA Automobiles SAS) die Vergabe des Programms »Powertrain-ECU Gen3 (ECU-900) fuer Plattform STE-Generation 2022« an die Brennhagen Elektronik AG als Tier-1-Lieferantin. Voraussichtliches Programmvolumen: 210 Mio. EUR ueber 4 Jahre Serien-Laufzeit (SOP Q4 2022 / EOP Q4 2026).</w:t>
      </w:r>
    </w:p>
    <w:p>
      <w:pPr>
        <w:pStyle w:val="Heading3"/>
      </w:pPr>
      <w:r>
        <w:t>Programmdaten</w:t>
      </w:r>
    </w:p>
    <w:p>
      <w:r>
        <w:t>Produkt: Powertrain-ECU Gen3 (ECU-900)</w:t>
        <w:br/>
        <w:t>Kurzbeschreibung: Powertrain-Steuergeraet fuer MEB+ / MQB-Evo (Infineon AURIX TC39x. multi-core)</w:t>
        <w:br/>
        <w:t>Sicherheitsklassifizierung: ASIL-C (ISO 26262); IATF 16949 zertifizierter Fertigungsstandort.</w:t>
        <w:br/>
        <w:t>Fertigungsstandort: Brennhagen Elektronik GmbH (REG). Heilbronn – Linie 2; SMD via RPL Katowice</w:t>
        <w:br/>
        <w:t>SOP-Ziel: Q4 2022; Lebenszyklus-Volumen Jahr 1 (Plan): 145.000 Einheiten</w:t>
        <w:br/>
        <w:t>Plan-Stueckpreis (EUR. EXW): 198.50</w:t>
      </w:r>
    </w:p>
    <w:p>
      <w:pPr>
        <w:pStyle w:val="Heading3"/>
      </w:pPr>
      <w:r>
        <w:t>Stueckzahl- und Preis-Eckdaten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Plan-Jahresvolumen Steady-State</w:t>
            </w:r>
          </w:p>
        </w:tc>
        <w:tc>
          <w:tcPr>
            <w:tcW w:type="dxa" w:w="4320"/>
          </w:tcPr>
          <w:p>
            <w:r>
              <w:t>145.000 Einheiten</w:t>
            </w:r>
          </w:p>
        </w:tc>
      </w:tr>
      <w:tr>
        <w:tc>
          <w:tcPr>
            <w:tcW w:type="dxa" w:w="4320"/>
          </w:tcPr>
          <w:p>
            <w:r>
              <w:t>Plan-Stueckpreis EXW (EUR)</w:t>
            </w:r>
          </w:p>
        </w:tc>
        <w:tc>
          <w:tcPr>
            <w:tcW w:type="dxa" w:w="4320"/>
          </w:tcPr>
          <w:p>
            <w:r>
              <w:t>198.50</w:t>
            </w:r>
          </w:p>
        </w:tc>
      </w:tr>
      <w:tr>
        <w:tc>
          <w:tcPr>
            <w:tcW w:type="dxa" w:w="4320"/>
          </w:tcPr>
          <w:p>
            <w:r>
              <w:t>SOP-Ziel</w:t>
            </w:r>
          </w:p>
        </w:tc>
        <w:tc>
          <w:tcPr>
            <w:tcW w:type="dxa" w:w="4320"/>
          </w:tcPr>
          <w:p>
            <w:r>
              <w:t>Q4 2022</w:t>
            </w:r>
          </w:p>
        </w:tc>
      </w:tr>
      <w:tr>
        <w:tc>
          <w:tcPr>
            <w:tcW w:type="dxa" w:w="4320"/>
          </w:tcPr>
          <w:p>
            <w:r>
              <w:t>EOP-Ziel</w:t>
            </w:r>
          </w:p>
        </w:tc>
        <w:tc>
          <w:tcPr>
            <w:tcW w:type="dxa" w:w="4320"/>
          </w:tcPr>
          <w:p>
            <w:r>
              <w:t>Q4 2026</w:t>
            </w:r>
          </w:p>
        </w:tc>
      </w:tr>
      <w:tr>
        <w:tc>
          <w:tcPr>
            <w:tcW w:type="dxa" w:w="4320"/>
          </w:tcPr>
          <w:p>
            <w:r>
              <w:t>Gesamtvolumen (Lebenszyklus)</w:t>
            </w:r>
          </w:p>
        </w:tc>
        <w:tc>
          <w:tcPr>
            <w:tcW w:type="dxa" w:w="4320"/>
          </w:tcPr>
          <w:p>
            <w:r>
              <w:t>210 Mio. EUR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2; SMD via RPL Katowice</w:t>
            </w:r>
          </w:p>
        </w:tc>
      </w:tr>
      <w:tr>
        <w:tc>
          <w:tcPr>
            <w:tcW w:type="dxa" w:w="4320"/>
          </w:tcPr>
          <w:p>
            <w:r>
              <w:t>Programm-Manager (vorl.)</w:t>
            </w:r>
          </w:p>
        </w:tc>
        <w:tc>
          <w:tcPr>
            <w:tcW w:type="dxa" w:w="4320"/>
          </w:tcPr>
          <w:p>
            <w:r>
              <w:t>wird binnen 14 Tagen benannt</w:t>
            </w:r>
          </w:p>
        </w:tc>
      </w:tr>
      <w:tr>
        <w:tc>
          <w:tcPr>
            <w:tcW w:type="dxa" w:w="4320"/>
          </w:tcPr>
          <w:p>
            <w:r>
              <w:t>EDI-Anbindung</w:t>
            </w:r>
          </w:p>
        </w:tc>
        <w:tc>
          <w:tcPr>
            <w:tcW w:type="dxa" w:w="4320"/>
          </w:tcPr>
          <w:p>
            <w:r>
              <w:t>VDA 4905 / 4915; ggfs. ANSI X.12 830/862</w:t>
            </w:r>
          </w:p>
        </w:tc>
      </w:tr>
    </w:tbl>
    <w:p>
      <w:pPr>
        <w:pStyle w:val="Heading3"/>
      </w:pPr>
      <w:r>
        <w:t>Naechste Schritte</w:t>
      </w:r>
    </w:p>
    <w:p>
      <w:pPr>
        <w:pStyle w:val="ListBullet"/>
      </w:pPr>
      <w:r>
        <w:t>Vertragsschluss Programm-Liefervertrag (Einzelvertrag): bis Ende Q3 2022</w:t>
      </w:r>
    </w:p>
    <w:p>
      <w:pPr>
        <w:pStyle w:val="ListBullet"/>
      </w:pPr>
      <w:r>
        <w:t>Lastenheft-/Pflichtenheft-Freigabe (»SOR / Statement of Requirements«): bis Ende Q2 2022</w:t>
      </w:r>
    </w:p>
    <w:p>
      <w:pPr>
        <w:pStyle w:val="ListBullet"/>
      </w:pPr>
      <w:r>
        <w:t>Erstmuster-Lieferung (PPAP Level 3 / VDA 2): 9 Monate vor SOP</w:t>
      </w:r>
    </w:p>
    <w:p>
      <w:pPr>
        <w:pStyle w:val="ListBullet"/>
      </w:pPr>
      <w:r>
        <w:t>Werkzeug- und Pruefmittel-Investitionsfreigabe: nach Vertragsschluss; Anschubfinanzierung Kunden-Tools max. 4 Mio. EUR (zu erstatten via Stueckpreis)</w:t>
      </w:r>
    </w:p>
    <w:p>
      <w:pPr>
        <w:pStyle w:val="ListBullet"/>
      </w:pPr>
      <w:r>
        <w:t>Q-Audit der Fertigungslinie (IATF 16949) durch SQE Herr Frank Witzel (Ruesselsheim): Q1 2023</w:t>
      </w:r>
    </w:p>
    <w:p>
      <w:pPr>
        <w:pStyle w:val="Heading3"/>
      </w:pPr>
      <w:r>
        <w:t>Vorbehalte / Bedingungen</w:t>
      </w:r>
    </w:p>
    <w:p>
      <w:r>
        <w:t>Vergabe steht unter Vorbehalt: (1) Erfolgreicher PPAP Level 3; (2) Erreichen ppm-Ziel &lt; 25 in Vorserie; (3) Bestaetigung Material-Pass-Through-Klausel; (4) Compliance mit OEM-Code-of-Conduct; (5) Erreichung des Investitionsentscheids des OEM-Lenkungskreises (»Decision Phase Gate«).</w:t>
      </w:r>
    </w:p>
    <w:p>
      <w:pPr>
        <w:pStyle w:val="Heading3"/>
      </w:pPr>
      <w:r>
        <w:t>Unterschriften</w:t>
      </w:r>
    </w:p>
    <w:p>
      <w:r>
        <w:t>Ort, Datum: 1175 RA Lijnden, den 22. Mai 2022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