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Powertrain-ECU Gen3 (ECU-900) – 2022 Q1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STE-ECU-900-2022; Fertigungswerk Brennhagen Elektronik GmbH (REG), Heilbronn – Linie 2; SMD via RPL Katowice; SOP-Status Q4 2022; aktuelle Berichtsperiode: 2022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34.582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6.7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95.8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STE-ECU-900 liegt im Quartal 2022 Q1 im Wesentlichen im Plan. Die geplante Liefermenge wurde mit 122 %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95.8 % (Ziel &gt; 98,5 %). Sondertransporte: 1 (Vorquartal: 1), Kosten 18-32 TEUR – traegt Brennhagen. Frozen-Zone-Adherence durch Kunde 93 %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Q1-Ende 2022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