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STE – Powertrain-ECU Gen3 (ECU-900) – 2023 Q4</w:t>
      </w:r>
    </w:p>
    <w:p>
      <w:pPr>
        <w:jc w:val="center"/>
      </w:pPr>
      <w:r>
        <w:t>Programm-Statusbericht zwischen Brennhagen Elektronik AG und Stellantis N.V.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Mme. Catherine Mercier (Global Commodity Manager Electronics), Herr Frank Witzel (Ruesselsheim) (SQE), Sig. Giuseppe Rossi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STE-ECU-900-2023; Fertigungswerk Brennhagen Elektronik GmbH (REG), Heilbronn – Linie 2; SMD via RPL Katowice; SOP-Status Q4 2022; aktuelle Berichtsperiode: 2023 Q4.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36.177</w:t>
            </w:r>
          </w:p>
        </w:tc>
        <w:tc>
          <w:tcPr>
            <w:tcW w:type="dxa" w:w="2160"/>
          </w:tcPr>
          <w:p>
            <w:r>
              <w:t>36.250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97.0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9.4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STE-ECU-900 liegt im Quartal 2023 Q4 im Wesentlichen im Plan. Die geplante Liefermenge wurde mit 144 % der vereinbarten Menge erfuellt. Der Stueckpreis ist gemaess Vertrag stabil bei 198.50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2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97.0 % (Ziel &gt; 98,5 %). Sondertransporte: 2 (Vorquartal: 3), Kosten 18-32 TEUR – traegt Brennhagen. Frozen-Zone-Adherence durch Kunde 95 %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4 (davon 2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145.000 Einheiten (rollierend 12 Monate). Risikofaktoren: Halbleiter-Allokation TSMC N7/N5 (im Plan. jedoch ohne Puffer). BEV-Hochlauf Plattform STE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Frank Witzel (Ruesselsheim)</w:t>
      </w:r>
    </w:p>
    <w:p>
      <w:pPr>
        <w:pStyle w:val="ListBullet"/>
      </w:pPr>
      <w:r>
        <w:t>AI-2: Kunde liefert verbindliches Forecast-Update fuer 2023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54</w:t>
      </w:r>
    </w:p>
    <w:p>
      <w:pPr>
        <w:pStyle w:val="ListBullet"/>
      </w:pPr>
      <w:r>
        <w:t>AI-5: Naechster QBR-Termin 2024 Folge-Quartal</w:t>
      </w:r>
    </w:p>
    <w:p>
      <w:pPr>
        <w:pStyle w:val="Heading3"/>
      </w:pPr>
      <w:r>
        <w:t>Unterschriften</w:t>
      </w:r>
    </w:p>
    <w:p>
      <w:r>
        <w:t>Ort, Datum: Stuttgart, den Q4-Ende 2023 + 14 AT</w:t>
      </w:r>
    </w:p>
    <w:p>
      <w:r>
        <w:t>_________________________            _________________________</w:t>
        <w:br/>
        <w:t>Stefan Richter                          Mme. Catherine Mercier</w:t>
        <w:br/>
        <w:t>CMO / BD                          Global Commodity Manager Electronics</w:t>
        <w:br/>
        <w:t>Brennhagen Elektronik AG                       Stellantis N.V. (vertreten durch FCA Italy S.p.A. und PSA Automobiles SAS)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