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STE-ICP-3-ECR-2023-003</w:t>
      </w:r>
    </w:p>
    <w:p>
      <w:pPr>
        <w:jc w:val="center"/>
      </w:pPr>
      <w:r>
        <w:t>Aenderungsantrag im Rahmen Programm STE-ICP-3-2023</w:t>
      </w:r>
    </w:p>
    <w:p/>
    <w:p>
      <w:pPr>
        <w:pStyle w:val="Heading3"/>
      </w:pPr>
      <w:r>
        <w:t>Adressat / Vorgang</w:t>
      </w:r>
    </w:p>
    <w:p>
      <w:r>
        <w:t>Empfaengerin:</w:t>
        <w:br/>
        <w:t>Stellantis N.V. (vertreten durch FCA Italy S.p.A. und PSA Automobiles SAS)</w:t>
        <w:br/>
        <w:t>Singaporestraat 92-100, 1175 RA Lijnden, Niederlande</w:t>
      </w:r>
    </w:p>
    <w:p>
      <w:r>
        <w:t>Ansprechpartner Einkauf: Mme. Catherine Mercier (Global Commodity Manager Electronics)</w:t>
        <w:br/>
        <w:t>Werk / Bedarfsstelle: Werk Mirafiori (Turin) / Werk Sochaux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STE-ICP-3-ECR-2023-003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STE-ICP-3-2023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InfoConnect Pro (ICP-3)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22.09.2023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Brennhagen (Wertanalyse)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Materialwechsel Power-MOSFET von Infineon IPB019N08N3G auf Infineon IAUC100N04S6L wegen Allokations-Risiko und besseren thermischen Eigenschaften (RDS_on -8 %). Stueckkostenanpassung -0,18 EUR. Re-PPAP Level 2.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ASIL-B-Level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-0,18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6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2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September 2023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