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STE – Verhandlungsergebnis 2023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Stellantis N.V. (vertreten durch FCA Italy S.p.A. und PSA Automobiles SAS), vertreten durch Mme. Catherine Mercier (Global Commodity Manager Electronics);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2022; Runde 1 (Daten-Abgleich, Material-Pass-Through): 8. November 2022; Runde 2 (Productivity-Kommerziell): 22. November 2022; Runde 3 (Programm-spezifische Eskalationen): 6. Dezember 2022; Abschluss / Term Sheet: 18. Dezember 2022; Schriftliche Bestaetigung: 12. Januar 2023.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Preis 2023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2023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2023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2023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