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Stellantis N.V. (2023)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Mme. Catherine Mercier,</w:t>
      </w:r>
    </w:p>
    <w:p>
      <w:r>
        <w:t>mit Bezug auf Ihren Forecast vom 08.02.2023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2023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2024</w:t>
      </w:r>
    </w:p>
    <w:p>
      <w:pPr>
        <w:pStyle w:val="ListBullet"/>
      </w:pPr>
      <w:r>
        <w:t>RPL Katowice SMD-Erweiterung: 6,2 Mio. EUR; SOP Q3 2023</w:t>
      </w:r>
    </w:p>
    <w:p>
      <w:pPr>
        <w:pStyle w:val="ListBullet"/>
      </w:pPr>
      <w:r>
        <w:t>REG Heilbronn Inline-Roentgen Linie 1 (ADAS-V4D): 1,4 Mio. EUR; SOP Q4 2023</w:t>
      </w:r>
    </w:p>
    <w:p>
      <w:pPr>
        <w:pStyle w:val="ListBullet"/>
      </w:pPr>
      <w:r>
        <w:t>Personalaufbau Heilbronn: +85 FTE (Produktion + Qualitaet) bis Q4 2024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Maerz 2023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