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Qualitaetssicherungsvereinbarung (QSV) Stellantis N.V. (2022)</w:t>
      </w:r>
    </w:p>
    <w:p>
      <w:pPr>
        <w:jc w:val="center"/>
      </w:pPr>
      <w:r>
        <w:t>Vereinbarung zur Qualitaet der Liefer- und Leistungsbeziehung gemaess IATF 16949 / VDA 6.3</w:t>
      </w:r>
    </w:p>
    <w:p/>
    <w:p>
      <w:pPr>
        <w:pStyle w:val="Heading3"/>
      </w:pPr>
      <w:r>
        <w:t>Vertragsparteien</w:t>
      </w:r>
    </w:p>
    <w:p>
      <w:r>
        <w:t>Empfaengerin:</w:t>
        <w:br/>
        <w:t>Stellantis N.V. (vertreten durch FCA Italy S.p.A. und PSA Automobiles SAS)</w:t>
        <w:br/>
        <w:t>Singaporestraat 92-100, 1175 RA Lijnden, Niederlande</w:t>
      </w:r>
    </w:p>
    <w:p>
      <w:r>
        <w:t>Ansprechpartner Einkauf: Mme. Catherine Mercier (Global Commodity Manager Electronics)</w:t>
        <w:br/>
        <w:t>Werk / Bedarfsstelle: Werk Mirafiori (Turin) / Werk Sochaux</w:t>
      </w:r>
    </w:p>
    <w:p>
      <w:r>
        <w:t>Absender:</w:t>
        <w:br/>
        <w:t>Brennhagen Elektronik AG, Vaihinger Straße 120, 70567 Stuttgart</w:t>
        <w:br/>
        <w:t>Verantwortlich: Stefan Richter (CMO / BD), Key-Account-Management OEM</w:t>
        <w:br/>
        <w:t>In Kopie: Anna Mueller (CEO), Laura Bauer (CFO)</w:t>
      </w:r>
    </w:p>
    <w:p>
      <w:pPr>
        <w:pStyle w:val="Heading3"/>
      </w:pPr>
      <w:r>
        <w:t>Praeambel</w:t>
      </w:r>
    </w:p>
    <w:p>
      <w:r>
        <w:t>Die Parteien vereinbaren hiermit die Bedingungen der Qualitaetssicherung in der Lieferbeziehung zwischen Stellantis N.V. (vertreten durch FCA Italy S.p.A. und PSA Automobiles SAS) und der Brennhagen Elektronik AG. Diese QSV ergaenzt den Rahmenliefervertrag (siehe REA_STE_Rahmenliefervertrag_2022) und hat Vorrang vor Allgemeinen Einkaufsbedingungen, soweit die Qualitaetssicherung betroffen ist.</w:t>
      </w:r>
    </w:p>
    <w:p>
      <w:pPr>
        <w:pStyle w:val="Heading3"/>
      </w:pPr>
      <w:r>
        <w:t>§ 1 Qualitaets-Managementsystem</w:t>
      </w:r>
    </w:p>
    <w:p>
      <w:r>
        <w:t>Brennhagen betreibt fuer alle in dieser QSV erfassten Lieferungen ein Q-Management-System gemaess IATF 16949:2016 (juengstes Re-Zertifikat: 2021; naechstes Surveillance-Audit Q3 2022). Sub-Tier-Lieferanten sind entsprechend qualifiziert (mindestens ISO 9001:2015; kritische: IATF 16949).</w:t>
      </w:r>
    </w:p>
    <w:p>
      <w:pPr>
        <w:pStyle w:val="Heading3"/>
      </w:pPr>
      <w:r>
        <w:t>§ 2 Qualitaetsziele</w:t>
      </w:r>
    </w:p>
    <w:tbl>
      <w:tblPr>
        <w:tblStyle w:val="TableGrid"/>
        <w:tblW w:type="auto" w:w="0"/>
        <w:tblLook w:firstColumn="1" w:firstRow="1" w:lastColumn="0" w:lastRow="0" w:noHBand="0" w:noVBand="1" w:val="04A0"/>
      </w:tblPr>
      <w:tblGrid>
        <w:gridCol w:w="4320"/>
        <w:gridCol w:w="4320"/>
      </w:tblGrid>
      <w:tr>
        <w:tc>
          <w:tcPr>
            <w:tcW w:type="dxa" w:w="4320"/>
          </w:tcPr>
          <w:p>
            <w:r>
              <w:t>KPI</w:t>
            </w:r>
          </w:p>
        </w:tc>
        <w:tc>
          <w:tcPr>
            <w:tcW w:type="dxa" w:w="4320"/>
          </w:tcPr>
          <w:p>
            <w:r>
              <w:t>Ziel</w:t>
            </w:r>
          </w:p>
        </w:tc>
      </w:tr>
      <w:tr>
        <w:tc>
          <w:tcPr>
            <w:tcW w:type="dxa" w:w="4320"/>
          </w:tcPr>
          <w:p>
            <w:r>
              <w:t>ppm (rollierend 3 Mon., Standard-Programme)</w:t>
            </w:r>
          </w:p>
        </w:tc>
        <w:tc>
          <w:tcPr>
            <w:tcW w:type="dxa" w:w="4320"/>
          </w:tcPr>
          <w:p>
            <w:r>
              <w:t>&lt; 25</w:t>
            </w:r>
          </w:p>
        </w:tc>
      </w:tr>
      <w:tr>
        <w:tc>
          <w:tcPr>
            <w:tcW w:type="dxa" w:w="4320"/>
          </w:tcPr>
          <w:p>
            <w:r>
              <w:t>ppm (rollierend 3 Mon., ASIL-C/D)</w:t>
            </w:r>
          </w:p>
        </w:tc>
        <w:tc>
          <w:tcPr>
            <w:tcW w:type="dxa" w:w="4320"/>
          </w:tcPr>
          <w:p>
            <w:r>
              <w:t>&lt; 15</w:t>
            </w:r>
          </w:p>
        </w:tc>
      </w:tr>
      <w:tr>
        <w:tc>
          <w:tcPr>
            <w:tcW w:type="dxa" w:w="4320"/>
          </w:tcPr>
          <w:p>
            <w:r>
              <w:t>OTD (rollierend 3 Mon.)</w:t>
            </w:r>
          </w:p>
        </w:tc>
        <w:tc>
          <w:tcPr>
            <w:tcW w:type="dxa" w:w="4320"/>
          </w:tcPr>
          <w:p>
            <w:r>
              <w:t>&gt; 98,5 %</w:t>
            </w:r>
          </w:p>
        </w:tc>
      </w:tr>
      <w:tr>
        <w:tc>
          <w:tcPr>
            <w:tcW w:type="dxa" w:w="4320"/>
          </w:tcPr>
          <w:p>
            <w:r>
              <w:t>8D D3-Frist</w:t>
            </w:r>
          </w:p>
        </w:tc>
        <w:tc>
          <w:tcPr>
            <w:tcW w:type="dxa" w:w="4320"/>
          </w:tcPr>
          <w:p>
            <w:r>
              <w:t>24 Stunden</w:t>
            </w:r>
          </w:p>
        </w:tc>
      </w:tr>
      <w:tr>
        <w:tc>
          <w:tcPr>
            <w:tcW w:type="dxa" w:w="4320"/>
          </w:tcPr>
          <w:p>
            <w:r>
              <w:t>8D D5-Frist</w:t>
            </w:r>
          </w:p>
        </w:tc>
        <w:tc>
          <w:tcPr>
            <w:tcW w:type="dxa" w:w="4320"/>
          </w:tcPr>
          <w:p>
            <w:r>
              <w:t>14 Tage</w:t>
            </w:r>
          </w:p>
        </w:tc>
      </w:tr>
      <w:tr>
        <w:tc>
          <w:tcPr>
            <w:tcW w:type="dxa" w:w="4320"/>
          </w:tcPr>
          <w:p>
            <w:r>
              <w:t>8D D8 (Wirksamkeit)</w:t>
            </w:r>
          </w:p>
        </w:tc>
        <w:tc>
          <w:tcPr>
            <w:tcW w:type="dxa" w:w="4320"/>
          </w:tcPr>
          <w:p>
            <w:r>
              <w:t>90 Tage</w:t>
            </w:r>
          </w:p>
        </w:tc>
      </w:tr>
    </w:tbl>
    <w:p>
      <w:pPr>
        <w:pStyle w:val="Heading3"/>
      </w:pPr>
      <w:r>
        <w:t>§ 3 Erstmuster (PPAP / VDA Band 2)</w:t>
      </w:r>
    </w:p>
    <w:p>
      <w:r>
        <w:t>Erstmuster werden gemaess AIAG PPAP 4th Edition bzw. VDA Band 2 (3-stufig) vorgelegt. Standard-Level fuer Programme: Level 3. Bei Wiederholungs-Lieferungen nach Aenderung: Re-PPAP gemaess kundenspezifischer Festlegung. Pruefdokumentation (Erstmusterpruefbericht, IMDS-Eintrag, CMK-/CPK-Werte) zu uebergeben.</w:t>
      </w:r>
    </w:p>
    <w:p>
      <w:pPr>
        <w:pStyle w:val="Heading3"/>
      </w:pPr>
      <w:r>
        <w:t>§ 4 Serienlieferung</w:t>
      </w:r>
    </w:p>
    <w:p>
      <w:r>
        <w:t>Stichprobenpruefung erfolgt bei Brennhagen gemaess Pruefplan (AQL 0,65 fuer Standard, AQL 0,15 fuer ASIL-C/D). Brennhagen betreibt 100-%-Pruefstationen fuer sicherheitsrelevante Funktionen. Pruefdaten werden 15 Jahre archiviert.</w:t>
      </w:r>
    </w:p>
    <w:p>
      <w:pPr>
        <w:pStyle w:val="Heading3"/>
      </w:pPr>
      <w:r>
        <w:t>§ 5 Reklamationsmanagement</w:t>
      </w:r>
    </w:p>
    <w:p>
      <w:r>
        <w:t>Bei Reklamation 8D-Report gemaess VDA Schritte D1-D8. Sortierkosten / Nacharbeit / Lieferengpass-Kosten gehen bei nachweislicher Verursachung zu Lasten Brennhagens. Sofortmassnahmen (D3) binnen 24 h; Sortier-/Block-Aktion bei kritischen Befunden sofort.</w:t>
      </w:r>
    </w:p>
    <w:p>
      <w:pPr>
        <w:pStyle w:val="Heading3"/>
      </w:pPr>
      <w:r>
        <w:t>§ 6 Sicherheitsbeauftragte / PSCR</w:t>
      </w:r>
    </w:p>
    <w:p>
      <w:r>
        <w:t>Brennhagen benennt fuer jedes ASIL-C/D-Programm eine/n Product Safety &amp; Conformity Representative (PSCR) gemaess IATF 16949 Anhang B; aktueller Konzern-PSCR-Koordinator: Sabine Brand (REG Heilbronn). Kunde benennt entsprechende Funktion (Sig. Giuseppe Rossi).</w:t>
      </w:r>
    </w:p>
    <w:p>
      <w:pPr>
        <w:pStyle w:val="Heading3"/>
      </w:pPr>
      <w:r>
        <w:t>§ 7 Aenderungen und Wirksamkeit</w:t>
      </w:r>
    </w:p>
    <w:p>
      <w:r>
        <w:t>Aenderungen dieser QSV beduerfen der Schriftform; muendliche Nebenabreden bestehen nicht. Laufzeit: unbegrenzt; Kuendigung mit 6 Monaten zum Quartalsende moeglich. Diese QSV tritt mit beidseitiger Unterzeichnung in Kraft.</w:t>
      </w:r>
    </w:p>
    <w:p>
      <w:pPr>
        <w:pStyle w:val="Heading3"/>
      </w:pPr>
      <w:r>
        <w:t>Unterschriften</w:t>
      </w:r>
    </w:p>
    <w:p>
      <w:r>
        <w:t>Ort, Datum: Stuttgart, den 15. Februar 2022</w:t>
      </w:r>
    </w:p>
    <w:p>
      <w:r>
        <w:t>_________________________            _________________________</w:t>
        <w:br/>
        <w:t>Sabine Brand                          Sig. Giuseppe Rossi</w:t>
        <w:br/>
        <w:t>Q-Leitung REG                          QMB</w:t>
        <w:br/>
        <w:t>Brennhagen Elektronik AG                       Stellantis N.V. (vertreten durch FCA Italy S.p.A. und PSA Automobiles SAS)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