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Radar Fusion Steuergeraet ADAS-V4D – 2022 Q2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VW-ADAS-V4D-2022; Fertigungswerk Brennhagen Elektronik GmbH (REG), Heilbronn – Linie 1; Software-Stack RSG Muenchen (ASPICE Level 3); SOP-Status Q2 2023; aktuelle Berichtsperiode: 2022 Q2.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24.462</w:t>
            </w:r>
          </w:p>
        </w:tc>
        <w:tc>
          <w:tcPr>
            <w:tcW w:type="dxa" w:w="2160"/>
          </w:tcPr>
          <w:p>
            <w:r>
              <w:t>23.750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19.8</w:t>
            </w:r>
          </w:p>
        </w:tc>
        <w:tc>
          <w:tcPr>
            <w:tcW w:type="dxa" w:w="2160"/>
          </w:tcPr>
          <w:p>
            <w:r>
              <w:t>19.0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97.8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10.2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VW-ADAS-V4D liegt im Quartal 2022 Q2 im Wesentlichen im Plan. Die geplante Liefermenge wurde mit 160 % der vereinbarten Menge erfuellt. Der Stueckpreis ist gemaess Vertrag stabil bei 798.00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97.8 % (Ziel &gt; 98,5 %). Sondertransporte: 3 (Vorquartal: 4), Kosten 18-32 TEUR – traegt Brennhagen. Frozen-Zone-Adherence durch Kunde 96 %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95.000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28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Q2-Ende 2022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