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Radar Fusion Steuergeraet ADAS-V4D – 2023 Q2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VW-ADAS-V4D-2023; Fertigungswerk Brennhagen Elektronik GmbH (REG), Heilbronn – Linie 1; Software-Stack RSG Muenchen (ASPICE Level 3); SOP-Status Q2 2023; aktuelle Berichtsperiode: 2023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23.370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18.5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96.6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9.1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VW-ADAS-V4D liegt im Quartal 2023 Q2 im Wesentlichen im Plan. Die geplante Liefermenge wurde mit 137 %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96.6 % (Ziel &gt; 98,5 %). Sondertransporte: 2 (Vorquartal: 2), Kosten 18-32 TEUR – traegt Brennhagen. Frozen-Zone-Adherence durch Kunde 94 %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4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Q2-Ende 2023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