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Radar Fusion Steuergeraet ADAS-V4D – 2023 Q3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VW-ADAS-V4D-2023; Fertigungswerk Brennhagen Elektronik GmbH (REG), Heilbronn – Linie 1; Software-Stack RSG Muenchen (ASPICE Level 3); SOP-Status Q2 2023;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25.032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20.5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VW-ADAS-V4D liegt im Quartal 2023 Q3 im Wesentlichen im Plan. Die geplante Liefermenge wurde mit 172 %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98.3 %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