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Radar Fusion Steuergeraet ADAS-V4D fuer Volkswagen AG (2022)</w:t>
      </w:r>
    </w:p>
    <w:p>
      <w:pPr>
        <w:jc w:val="center"/>
      </w:pPr>
      <w:r>
        <w:t>Verbindliches Angebot der Brennhagen Elektronik AG zur Ausschreibung VW-ADAS-V4D-RFQ-2022</w:t>
      </w:r>
    </w:p>
    <w:p/>
    <w:p>
      <w:pPr>
        <w:pStyle w:val="Heading3"/>
      </w:pPr>
      <w:r>
        <w:t>Adressat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VW-ADAS-V4D-RFQ-2022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798.00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750.12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560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1.120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95.000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Q2 2023 / Q4 2026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(ASIL-D)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Q2 2023: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