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VW-BMS-12-ECR-2023-003</w:t>
      </w:r>
    </w:p>
    <w:p>
      <w:pPr>
        <w:jc w:val="center"/>
      </w:pPr>
      <w:r>
        <w:t>Aenderungsantrag im Rahmen Programm VW-BMS-12-2023</w:t>
      </w:r>
    </w:p>
    <w:p/>
    <w:p>
      <w:pPr>
        <w:pStyle w:val="Heading3"/>
      </w:pPr>
      <w:r>
        <w:t>Adressat / Vorgang</w:t>
      </w:r>
    </w:p>
    <w:p>
      <w:r>
        <w:t>Empfaengerin:</w:t>
        <w:br/>
        <w:t>Volkswagen Aktiengesellschaft</w:t>
        <w:br/>
        <w:t>Berliner Ring 2, 38440 Wolfsburg</w:t>
      </w:r>
    </w:p>
    <w:p>
      <w:r>
        <w:t>Ansprechpartner Einkauf: Frau Petra Lindemann (Senior Buyer Electronics / E-Mobility)</w:t>
        <w:br/>
        <w:t>Werk / Bedarfsstelle: Werk Zwickau / Werk Wolfsburg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VW-BMS-12-ECR-2023-003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VW-BMS-12-2023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BatteryMS-12 (BMS-12)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22.09.2023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Brennhagen (Wertanalyse)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B (mittel)</w:t>
            </w:r>
          </w:p>
        </w:tc>
      </w:tr>
    </w:tbl>
    <w:p>
      <w:pPr>
        <w:pStyle w:val="Heading3"/>
      </w:pPr>
      <w:r>
        <w:t>Aenderungsbeschreibung</w:t>
      </w:r>
    </w:p>
    <w:p>
      <w:r>
        <w:t>Materialwechsel Power-MOSFET von Infineon IPB019N08N3G auf Infineon IAUC100N04S6L wegen Allokations-Risiko und besseren thermischen Eigenschaften (RDS_on -8 %). Stueckkostenanpassung -0,18 EUR. Re-PPAP Level 2.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ASIL-D-Level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-0,18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6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2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September 2023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