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VW – BatteryMS-12 (BMS-12) – 2023 Q1</w:t>
      </w:r>
    </w:p>
    <w:p>
      <w:pPr>
        <w:jc w:val="center"/>
      </w:pPr>
      <w:r>
        <w:t>Programm-Statusbericht zwischen Brennhagen Elektronik AG und Volkswagen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Frau Petra Lindemann (Senior Buyer Electronics / E-Mobility), Frau Sabine Voigt (SQE), Herr Dr. Klaus-Peter Schwarz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VW-BMS-12-2023; Fertigungswerk Brennhagen Elektronik GmbH (REG), Heilbronn – Linie 4 (neu, SOP Q1 2024); SOP-Status Q1 2024; aktuelle Berichtsperiode: 2023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58.630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17.2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98.7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11.1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VW-BMS-12 liegt im Quartal 2023 Q1 im Wesentlichen im Plan. Die geplante Liefermenge wurde mit 178 %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98.7 % (Ziel &gt; 98,5 %). Sondertransporte: 4 (Vorquartal: 5), Kosten 18-32 TEUR – traegt Brennhagen. Frozen-Zone-Adherence durch Kunde 97 %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VW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Frau Sabine Voigt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Q1-Ende 2023 + 14 AT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