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RFQ-Response BatteryMS-12 (BMS-12) fuer Volkswagen AG (2022)</w:t>
      </w:r>
    </w:p>
    <w:p>
      <w:pPr>
        <w:jc w:val="center"/>
      </w:pPr>
      <w:r>
        <w:t>Verbindliches Angebot der Brennhagen Elektronik AG zur Ausschreibung VW-BMS-12-RFQ-2022</w:t>
      </w:r>
    </w:p>
    <w:p/>
    <w:p>
      <w:pPr>
        <w:pStyle w:val="Heading3"/>
      </w:pPr>
      <w:r>
        <w:t>Adressat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VW-BMS-12-RFQ-2022 vom Februar 2022; Lastenheft Rev. 1.0 vom 25. Januar 2022; Q&amp;A Runde 1+2 abgeschlossen am 12. Maerz 2022; Angebotsabgabe-Frist: 15. April 2022.</w:t>
      </w:r>
    </w:p>
    <w:p>
      <w:pPr>
        <w:pStyle w:val="Heading3"/>
      </w:pPr>
      <w:r>
        <w:t>Angebotsgegenstand</w:t>
      </w:r>
    </w:p>
    <w:p>
      <w:r>
        <w:t>Produkt: BatteryMS-12 (BMS-12)</w:t>
        <w:br/>
        <w:t>Kurzbeschreibung: Batteriemanagementsystem fuer 800-V-Plattformen (HV-Pack-Monitoring. 12 Zell-Module)</w:t>
        <w:br/>
        <w:t>Sicherheitsklassifizierung: ASIL-D (ISO 26262); IATF 16949 zertifizierter Fertigungsstandort.</w:t>
        <w:br/>
        <w:t>Fertigungsstandort: Brennhagen Elektronik GmbH (REG). Heilbronn – Linie 4 (neu. SOP Q1 2024)</w:t>
        <w:br/>
        <w:t>SOP-Ziel: Q1 2024; Lebenszyklus-Volumen Jahr 1 (Plan): 220.000 Einheiten</w:t>
        <w:br/>
        <w:t>Plan-Stueckpreis (EUR. EXW): 285.00</w:t>
      </w:r>
    </w:p>
    <w:p>
      <w:pPr>
        <w:pStyle w:val="Heading3"/>
      </w:pPr>
      <w:r>
        <w:t>Kommerzielle 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Plan-Stueckpreis EXW (EUR, Jahr 1)</w:t>
            </w:r>
          </w:p>
        </w:tc>
        <w:tc>
          <w:tcPr>
            <w:tcW w:type="dxa" w:w="4320"/>
          </w:tcPr>
          <w:p>
            <w:r>
              <w:t>285.00</w:t>
            </w:r>
          </w:p>
        </w:tc>
      </w:tr>
      <w:tr>
        <w:tc>
          <w:tcPr>
            <w:tcW w:type="dxa" w:w="4320"/>
          </w:tcPr>
          <w:p>
            <w:r>
              <w:t>Plan-Stueckpreis EXW (EUR, Jahr 4 – Productivity 2 % p. a.)</w:t>
            </w:r>
          </w:p>
        </w:tc>
        <w:tc>
          <w:tcPr>
            <w:tcW w:type="dxa" w:w="4320"/>
          </w:tcPr>
          <w:p>
            <w:r>
              <w:t>267.90</w:t>
            </w:r>
          </w:p>
        </w:tc>
      </w:tr>
      <w:tr>
        <w:tc>
          <w:tcPr>
            <w:tcW w:type="dxa" w:w="4320"/>
          </w:tcPr>
          <w:p>
            <w:r>
              <w:t>Werkzeugkosten (Einmal, EUR)</w:t>
            </w:r>
          </w:p>
        </w:tc>
        <w:tc>
          <w:tcPr>
            <w:tcW w:type="dxa" w:w="4320"/>
          </w:tcPr>
          <w:p>
            <w:r>
              <w:t>980</w:t>
            </w:r>
          </w:p>
        </w:tc>
      </w:tr>
      <w:tr>
        <w:tc>
          <w:tcPr>
            <w:tcW w:type="dxa" w:w="4320"/>
          </w:tcPr>
          <w:p>
            <w:r>
              <w:t>Engineering / NRE (Einmal, EUR)</w:t>
            </w:r>
          </w:p>
        </w:tc>
        <w:tc>
          <w:tcPr>
            <w:tcW w:type="dxa" w:w="4320"/>
          </w:tcPr>
          <w:p>
            <w:r>
              <w:t>1.960</w:t>
            </w:r>
          </w:p>
        </w:tc>
      </w:tr>
      <w:tr>
        <w:tc>
          <w:tcPr>
            <w:tcW w:type="dxa" w:w="4320"/>
          </w:tcPr>
          <w:p>
            <w:r>
              <w:t>Plan-Jahresvolumen Steady-State (Einheiten)</w:t>
            </w:r>
          </w:p>
        </w:tc>
        <w:tc>
          <w:tcPr>
            <w:tcW w:type="dxa" w:w="4320"/>
          </w:tcPr>
          <w:p>
            <w:r>
              <w:t>220.000</w:t>
            </w:r>
          </w:p>
        </w:tc>
      </w:tr>
      <w:tr>
        <w:tc>
          <w:tcPr>
            <w:tcW w:type="dxa" w:w="4320"/>
          </w:tcPr>
          <w:p>
            <w:r>
              <w:t>Plan-Gesamtvolumen Lebenszyklus (Mio. EUR)</w:t>
            </w:r>
          </w:p>
        </w:tc>
        <w:tc>
          <w:tcPr>
            <w:tcW w:type="dxa" w:w="4320"/>
          </w:tcPr>
          <w:p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SOP-Ziel / EOP-Ziel</w:t>
            </w:r>
          </w:p>
        </w:tc>
        <w:tc>
          <w:tcPr>
            <w:tcW w:type="dxa" w:w="4320"/>
          </w:tcPr>
          <w:p>
            <w:r>
              <w:t>Q1 2024 / Q4 2029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4 (neu, SOP Q1 2024)</w:t>
            </w:r>
          </w:p>
        </w:tc>
      </w:tr>
      <w:tr>
        <w:tc>
          <w:tcPr>
            <w:tcW w:type="dxa" w:w="4320"/>
          </w:tcPr>
          <w:p>
            <w:r>
              <w:t>Bindefrist Angebot</w:t>
            </w:r>
          </w:p>
        </w:tc>
        <w:tc>
          <w:tcPr>
            <w:tcW w:type="dxa" w:w="4320"/>
          </w:tcPr>
          <w:p>
            <w:r>
              <w:t>90 Tage ab Eingang</w:t>
            </w:r>
          </w:p>
        </w:tc>
      </w:tr>
    </w:tbl>
    <w:p>
      <w:pPr>
        <w:pStyle w:val="Heading3"/>
      </w:pPr>
      <w:r>
        <w:t>Technische Erfuellung</w:t>
      </w:r>
    </w:p>
    <w:p>
      <w:r>
        <w:t>Die Brennhagen Elektronik AG bestaetigt die Erfuellung saemtlicher Anforderungen des Lastenheftes inkl. der funktionalen Sicherheitsanforderungen gemaess ISO 26262 (ASIL-D) sowie SOTIF (ISO 21448). Abweichungen / Klaerungsbedarf siehe Anlage »Deviation List« (insgesamt 4 Punkte; alle als »low impact« klassifiziert). Software-Stack RSG Muenchen (ASPICE Level 2-3).</w:t>
      </w:r>
    </w:p>
    <w:p>
      <w:pPr>
        <w:pStyle w:val="Heading3"/>
      </w:pPr>
      <w:r>
        <w:t>Annahmen / Vorbehalte</w:t>
      </w:r>
    </w:p>
    <w:p>
      <w:pPr>
        <w:pStyle w:val="ListBullet"/>
      </w:pPr>
      <w:r>
        <w:t>Material-Pass-Through-Klausel fuer Halbleiter (Infineon AURIX, NXP, Texas Instruments)</w:t>
      </w:r>
    </w:p>
    <w:p>
      <w:pPr>
        <w:pStyle w:val="ListBullet"/>
      </w:pPr>
      <w:r>
        <w:t>12-Wochen-Frozen-Zone fuer Lieferabrufe</w:t>
      </w:r>
    </w:p>
    <w:p>
      <w:pPr>
        <w:pStyle w:val="ListBullet"/>
      </w:pPr>
      <w:r>
        <w:t>Werkzeug- und NRE-Anschubfinanzierung 50 % bei Auftragserteilung</w:t>
      </w:r>
    </w:p>
    <w:p>
      <w:pPr>
        <w:pStyle w:val="ListBullet"/>
      </w:pPr>
      <w:r>
        <w:t>Volumen-Mindest-Commitment: 80 % des Plan-Volumens je Programm-Jahr</w:t>
      </w:r>
    </w:p>
    <w:p>
      <w:pPr>
        <w:pStyle w:val="ListBullet"/>
      </w:pPr>
      <w:r>
        <w:t>Vorbehalt Halbleiter-Allokation (Wafer-Kontingente Foundries TSMC / GlobalFoundries)</w:t>
      </w:r>
    </w:p>
    <w:p>
      <w:pPr>
        <w:pStyle w:val="Heading3"/>
      </w:pPr>
      <w:r>
        <w:t>Programm-Roadmap</w:t>
      </w:r>
    </w:p>
    <w:p>
      <w:pPr>
        <w:pStyle w:val="ListBullet"/>
      </w:pPr>
      <w:r>
        <w:t>Mai 2022: Nominierungsentscheidung Kunde</w:t>
      </w:r>
    </w:p>
    <w:p>
      <w:pPr>
        <w:pStyle w:val="ListBullet"/>
      </w:pPr>
      <w:r>
        <w:t>Juni-September 2022: Vertragsverhandlungen (Rahmen + Einzel)</w:t>
      </w:r>
    </w:p>
    <w:p>
      <w:pPr>
        <w:pStyle w:val="ListBullet"/>
      </w:pPr>
      <w:r>
        <w:t>Q4 2022 - Q1 2023: B-Muster (DV-Phase)</w:t>
      </w:r>
    </w:p>
    <w:p>
      <w:pPr>
        <w:pStyle w:val="ListBullet"/>
      </w:pPr>
      <w:r>
        <w:t>Q2-Q3 2023: C-Muster (PV-Phase) + PPAP Submission</w:t>
      </w:r>
    </w:p>
    <w:p>
      <w:pPr>
        <w:pStyle w:val="ListBullet"/>
      </w:pPr>
      <w:r>
        <w:t>Q1 2024: SOP / Serienanlauf</w:t>
      </w:r>
    </w:p>
    <w:p>
      <w:pPr>
        <w:pStyle w:val="Heading3"/>
      </w:pPr>
      <w:r>
        <w:t>Unterschriften</w:t>
      </w:r>
    </w:p>
    <w:p>
      <w:r>
        <w:t>Ort, Datum: Stuttgart, den 15. April 2022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