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VW-ECU-900-ECR-2022-002</w:t>
      </w:r>
    </w:p>
    <w:p>
      <w:pPr>
        <w:jc w:val="center"/>
      </w:pPr>
      <w:r>
        <w:t>Aenderungsantrag im Rahmen Programm VW-ECU-900-2022</w:t>
      </w:r>
    </w:p>
    <w:p/>
    <w:p>
      <w:pPr>
        <w:pStyle w:val="Heading3"/>
      </w:pPr>
      <w:r>
        <w:t>Adressat / Vorgang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VW-ECU-900-ECR-2022-002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VW-ECU-900-2022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08.06.2022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Aenderung des Steckverbinder-Lieferanten von TE Connectivity HFM-Serie auf Molex MX150-Serie aufgrund verbesserter Vibrationsfestigkeit (USCAR-2 Class 3 anstatt Class 2) und gleichbleibender Kosten. Re-PPAP Level 3 erforderlich.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ASIL-C-Level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12.500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+0,42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12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 (Re-PPAP komplett)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