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Powertrain-ECU Gen3 (ECU-900) – 2022 Q3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VW-ECU-900-2022; Fertigungswerk Brennhagen Elektronik GmbH (REG), Heilbronn – Linie 2; SMD via RPL Katowice; SOP-Status Q4 2022; aktuelle Berichtsperiode: 2022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36.757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7.3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97.3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9.8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VW-ECU-900 liegt im Quartal 2022 Q3 im Wesentlichen im Plan. Die geplante Liefermenge wurde mit 152 %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97.3 % (Ziel &gt; 98,5 %). Sondertransporte: 2 (Vorquartal: 3), Kosten 18-32 TEUR – traegt Brennhagen. Frozen-Zone-Adherence durch Kunde 95 %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5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Q3-Ende 2022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