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Jahrespreisverhandlung VW – Verhandlungsergebnis 2022</w:t>
      </w:r>
    </w:p>
    <w:p>
      <w:pPr>
        <w:jc w:val="center"/>
      </w:pPr>
      <w:r>
        <w:t>Verhandlungsprotokoll und Vereinbarung der Stueckpreise fuer das Geschaeftsjahr</w:t>
      </w:r>
    </w:p>
    <w:p/>
    <w:p>
      <w:pPr>
        <w:pStyle w:val="Heading3"/>
      </w:pPr>
      <w:r>
        <w:t>Verhandlungspartner</w:t>
      </w:r>
    </w:p>
    <w:p>
      <w:r>
        <w:t>Kunde: Volkswagen Aktiengesellschaft, vertreten durch Frau Petra Lindemann (Senior Buyer Electronics / E-Mobility); Stellv. Frau Dr. Eva Bredow (Strategic Sourcing).</w:t>
      </w:r>
    </w:p>
    <w:p>
      <w:r>
        <w:t>Brennhagen: Stefan Richter (CMO / BD), Laura Bauer (CFO) – nur Eroeffnung; Programm-Manager der jeweiligen Produktlinien.</w:t>
      </w:r>
    </w:p>
    <w:p>
      <w:pPr>
        <w:pStyle w:val="Heading3"/>
      </w:pPr>
      <w:r>
        <w:t>Verhandlungstermine</w:t>
      </w:r>
    </w:p>
    <w:p>
      <w:r>
        <w:t>Kick-off Brennhagen-Vorlage: 18. Oktober 2021; Runde 1 (Daten-Abgleich, Material-Pass-Through): 8. November 2021; Runde 2 (Productivity-Kommerziell): 22. November 2021; Runde 3 (Programm-spezifische Eskalationen): 6. Dezember 2021; Abschluss / Term Sheet: 18. Dezember 2021; Schriftliche Bestaetigung: 12. Januar 2022.</w:t>
      </w:r>
    </w:p>
    <w:p>
      <w:pPr>
        <w:pStyle w:val="Heading3"/>
      </w:pPr>
      <w:r>
        <w:t>Vereinbarte Stueckpreise (EUR / EXW)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Preis 2021</w:t>
            </w:r>
          </w:p>
        </w:tc>
        <w:tc>
          <w:tcPr>
            <w:tcW w:type="dxa" w:w="2160"/>
          </w:tcPr>
          <w:p>
            <w:r>
              <w:t>Preis 2022</w:t>
            </w:r>
          </w:p>
        </w:tc>
        <w:tc>
          <w:tcPr>
            <w:tcW w:type="dxa" w:w="2160"/>
          </w:tcPr>
          <w:p>
            <w:r>
              <w:t>Aenderung %</w:t>
            </w:r>
          </w:p>
        </w:tc>
      </w:tr>
      <w:tr>
        <w:tc>
          <w:tcPr>
            <w:tcW w:type="dxa" w:w="2160"/>
          </w:tcPr>
          <w:p>
            <w:r>
              <w:t>ICP-3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406.31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BMS-12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279.30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  <w:tr>
        <w:tc>
          <w:tcPr>
            <w:tcW w:type="dxa" w:w="2160"/>
          </w:tcPr>
          <w:p>
            <w:r>
              <w:t>ADAS-V4D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790.02</w:t>
            </w:r>
          </w:p>
        </w:tc>
        <w:tc>
          <w:tcPr>
            <w:tcW w:type="dxa" w:w="2160"/>
          </w:tcPr>
          <w:p>
            <w:r>
              <w:t>-1,0 %</w:t>
            </w:r>
          </w:p>
        </w:tc>
      </w:tr>
      <w:tr>
        <w:tc>
          <w:tcPr>
            <w:tcW w:type="dxa" w:w="2160"/>
          </w:tcPr>
          <w:p>
            <w:r>
              <w:t>ECU-900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195.52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92,40</w:t>
            </w:r>
          </w:p>
        </w:tc>
        <w:tc>
          <w:tcPr>
            <w:tcW w:type="dxa" w:w="2160"/>
          </w:tcPr>
          <w:p>
            <w:r>
              <w:t>90.55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</w:tbl>
    <w:p>
      <w:pPr>
        <w:pStyle w:val="Heading3"/>
      </w:pPr>
      <w:r>
        <w:t>Material-Pass-Through (Quartals-Indizes)</w:t>
      </w:r>
    </w:p>
    <w:p>
      <w:r>
        <w:t>Halbleiter-Index (Wafer Composite, Quelle SEMI/SIA): Aenderung gegenueber Vorquartal +/- 2,1 %; Kupfer LME 3M (London Metal Exchange): Aenderung -8,4 % (Ablauf 2023, Wirkung Q1 2022 positiv fuer Kunden); Polymer-Index (S&amp;P GSCI Polymers): stabil. Pass-Through-Wirkung gemaess Anlage 3 des Rahmenliefervertrages quartalsanteilig.</w:t>
      </w:r>
    </w:p>
    <w:p>
      <w:pPr>
        <w:pStyle w:val="Heading3"/>
      </w:pPr>
      <w:r>
        <w:t>Volumen-Commitments</w:t>
      </w:r>
    </w:p>
    <w:p>
      <w:r>
        <w:t>Kunde bestaetigt Volumen-Commitment fuer das Jahr 2022 auf Basis des Programm-Forecasts; Mindest-Volumen 80 % gemaess Liefervertrag. Brennhagen sichert Werks-Kapazitaet (REG Heilbronn Linie 1-4, RPL Katowice SMD) bis zur Plan-Menge zu.</w:t>
      </w:r>
    </w:p>
    <w:p>
      <w:pPr>
        <w:pStyle w:val="Heading3"/>
      </w:pPr>
      <w:r>
        <w:t>Sonstiges</w:t>
      </w:r>
    </w:p>
    <w:p>
      <w:r>
        <w:t>Brennhagen hat im Verhandlungsverlauf auf eine Eskalation der Sondertransport-Kosten (7 Faelle in 2023) sowie auf die Notwendigkeit eines Forecast-Genauigkeits-Bonus/Malus hingewiesen. Beide Punkte werden in QBR Q1 2022 separat adressiert. Productivity-Beteiligung des Kunden gemaess Rahmenliefervertrag § 4 ist vollstaendig umgesetzt.</w:t>
      </w:r>
    </w:p>
    <w:p>
      <w:pPr>
        <w:pStyle w:val="Heading3"/>
      </w:pPr>
      <w:r>
        <w:t>Unterschriften</w:t>
      </w:r>
    </w:p>
    <w:p>
      <w:r>
        <w:t>Ort, Datum: Stuttgart, den 12. Januar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