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VW – Verhandlungsergebnis 2023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Volkswagen Aktiengesellschaft, vertreten durch Frau Petra Lindemann (Senior Buyer Electronics / E-Mobility);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2022; Runde 1 (Daten-Abgleich, Material-Pass-Through): 8. November 2022; Runde 2 (Productivity-Kommerziell): 22. November 2022; Runde 3 (Programm-spezifische Eskalationen): 6. Dezember 2022; Abschluss / Term Sheet: 18. Dezember 2022; Schriftliche Bestaetigung: 12. Januar 2023.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Preis 2023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2023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2023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2023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