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Kapazitaetsanfrage Volkswagen AG (2022)</w:t>
      </w:r>
    </w:p>
    <w:p>
      <w:pPr>
        <w:jc w:val="center"/>
      </w:pPr>
      <w:r>
        <w:t>Anfrage / Bestaetigung der Werkskapazitaet fuer Programm-Volumen-Hochlauf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Anfrage</w:t>
      </w:r>
    </w:p>
    <w:p>
      <w:r>
        <w:t>Sehr geehrte/r Frau Petra Lindemann,</w:t>
      </w:r>
    </w:p>
    <w:p>
      <w:r>
        <w:t>mit Bezug auf Ihren Forecast vom 22.04.2022 und die geplante Volumenerhoehung der Programme BMS-12 (+18 %), ADAS-V4D (+15 %) und ECU-900 (+22 %) bestaetigen wir hiermit die Verfuegbarkeit der zusaetzlichen Werks-Kapazitaeten in der Brennhagen-Gruppe.</w:t>
      </w:r>
    </w:p>
    <w:p>
      <w:pPr>
        <w:pStyle w:val="Heading3"/>
      </w:pPr>
      <w:r>
        <w:t>Kapazitaets-Bestaetigung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Programm</w:t>
            </w:r>
          </w:p>
        </w:tc>
        <w:tc>
          <w:tcPr>
            <w:tcW w:type="dxa" w:w="1728"/>
          </w:tcPr>
          <w:p>
            <w:r>
              <w:t>Plan 2022 (Tsd. Einh.)</w:t>
            </w:r>
          </w:p>
        </w:tc>
        <w:tc>
          <w:tcPr>
            <w:tcW w:type="dxa" w:w="1728"/>
          </w:tcPr>
          <w:p>
            <w:r>
              <w:t>Forecast +1 (Tsd. Einh.)</w:t>
            </w:r>
          </w:p>
        </w:tc>
        <w:tc>
          <w:tcPr>
            <w:tcW w:type="dxa" w:w="1728"/>
          </w:tcPr>
          <w:p>
            <w:r>
              <w:t>Brennhagen-Kapazitaet (Tsd. Einh.)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BMS-12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ADAS-V4D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ECU-900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ICP-3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>
      <w:pPr>
        <w:pStyle w:val="Heading3"/>
      </w:pPr>
      <w:r>
        <w:t>Werks-Massnahmen</w:t>
      </w:r>
    </w:p>
    <w:p>
      <w:pPr>
        <w:pStyle w:val="ListBullet"/>
      </w:pPr>
      <w:r>
        <w:t>REG Heilbronn Linie 4 (BMS-12): Investition 28,4 Mio. EUR; SOP Q1 2023</w:t>
      </w:r>
    </w:p>
    <w:p>
      <w:pPr>
        <w:pStyle w:val="ListBullet"/>
      </w:pPr>
      <w:r>
        <w:t>RPL Katowice SMD-Erweiterung: 6,2 Mio. EUR; SOP Q3 2022</w:t>
      </w:r>
    </w:p>
    <w:p>
      <w:pPr>
        <w:pStyle w:val="ListBullet"/>
      </w:pPr>
      <w:r>
        <w:t>REG Heilbronn Inline-Roentgen Linie 1 (ADAS-V4D): 1,4 Mio. EUR; SOP Q4 2022</w:t>
      </w:r>
    </w:p>
    <w:p>
      <w:pPr>
        <w:pStyle w:val="ListBullet"/>
      </w:pPr>
      <w:r>
        <w:t>Personalaufbau Heilbronn: +85 FTE (Produktion + Qualitaet) bis Q4 2023</w:t>
      </w:r>
    </w:p>
    <w:p>
      <w:pPr>
        <w:pStyle w:val="ListBullet"/>
      </w:pPr>
      <w:r>
        <w:t>Halbleiter-Allokation: LoA Infineon, NXP, ST verlaengert bis 2030</w:t>
      </w:r>
    </w:p>
    <w:p>
      <w:pPr>
        <w:pStyle w:val="Heading3"/>
      </w:pPr>
      <w:r>
        <w:t>Vorbehalte / Bedingungen</w:t>
      </w:r>
    </w:p>
    <w:p>
      <w:r>
        <w:t>Verbindliche Kapazitaets-Reservierung erfolgt nach Erhalt einer schriftlichen Volumen-Commitment-Bestaetigung des Kunden (gemaess Rahmenvertrag § 2). Anschubfinanzierung fuer Kapazitaetsausbau: 35-40 % durch Kunden vorgesehen (siehe Vertragsnachtrag 2022). Volumenflexibilitaet +/- 15 % im Forecast-Korridor.</w:t>
      </w:r>
    </w:p>
    <w:p>
      <w:pPr>
        <w:pStyle w:val="Heading3"/>
      </w:pPr>
      <w:r>
        <w:t>Naechste Schritte</w:t>
      </w:r>
    </w:p>
    <w:p>
      <w:r>
        <w:t>Verbindliche Bestaetigung des Kunden binnen 30 Tagen; bei Annahme erfolgt Investitionsfreigabe-Update durch Brennhagen-Vorstand binnen weiterer 30 Tage. Statusbericht im naechsten QBR.</w:t>
      </w:r>
    </w:p>
    <w:p>
      <w:pPr>
        <w:pStyle w:val="Heading3"/>
      </w:pPr>
      <w:r>
        <w:t>Unterschriften</w:t>
      </w:r>
    </w:p>
    <w:p>
      <w:r>
        <w:t>Ort, Datum: Stuttgart, den 15. Mai 2022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