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Gate Review - G1 Konzept - ICP-3 OTA Update Platform</w:t>
      </w:r>
    </w:p>
    <w:p>
      <w:pPr>
        <w:jc w:val="center"/>
      </w:pPr>
      <w:r>
        <w:t>Projekt PRJ-2023-003 / Stage-Gate G1 (Konzept-Gate) - ICP-3 OTA-Plattform</w:t>
      </w:r>
    </w:p>
    <w:p/>
    <w:p>
      <w:pPr>
        <w:pStyle w:val="Heading3"/>
      </w:pPr>
      <w:r>
        <w:t>Projektkennung</w:t>
      </w:r>
    </w:p>
    <w:p>
      <w:r>
        <w:t>Projekt-Nr.: PRJ-2023-003</w:t>
        <w:br/>
        <w:t>Projektname: ICP-3 OTA (Over-the-Air) Update Platform</w:t>
        <w:br/>
        <w:t>Projektart: Plattform-Erweiterung Infotainment (Software + Backend)</w:t>
        <w:br/>
        <w:t>Stage-Gate: G1 - Konzept (Concept Gate)</w:t>
        <w:br/>
        <w:t>Reviewdatum: 4. Mai 2023, 09:00-12:00 Uhr (Vor-Ort REG Heilbronn + Teams)</w:t>
        <w:br/>
        <w:t>Projektleitung: Lars Wittmann (Lead Developer RSG Muenchen), Sponsor: Dr. Stefan Hoffmann (CTO)</w:t>
        <w:br/>
        <w:t>Begleitung Einkauf: Tobias Lange (fuer ggf. Halbleiter-/Cloud-Service-Beschaffung)</w:t>
      </w:r>
    </w:p>
    <w:p>
      <w:pPr>
        <w:pStyle w:val="Heading3"/>
      </w:pPr>
      <w:r>
        <w:t>Gate-Teilnehmer</w:t>
      </w:r>
    </w:p>
    <w:p>
      <w:pPr>
        <w:pStyle w:val="ListBullet"/>
      </w:pPr>
      <w:r>
        <w:t>Sponsor: Dr. Stefan Hoffmann (CTO)</w:t>
      </w:r>
    </w:p>
    <w:p>
      <w:pPr>
        <w:pStyle w:val="ListBullet"/>
      </w:pPr>
      <w:r>
        <w:t>PMO: Florian Maier (Group Controller, Projektportfolio-Sicht)</w:t>
      </w:r>
    </w:p>
    <w:p>
      <w:pPr>
        <w:pStyle w:val="ListBullet"/>
      </w:pPr>
      <w:r>
        <w:t>RSG Muenchen: Dr. Klaus Kessler (Werkleiter), Lars Wittmann (Lead Dev)</w:t>
      </w:r>
    </w:p>
    <w:p>
      <w:pPr>
        <w:pStyle w:val="ListBullet"/>
      </w:pPr>
      <w:r>
        <w:t>REG Heilbronn: Andreas Maier (Werkleiter), Sabine Brand (Q-Leitung)</w:t>
      </w:r>
    </w:p>
    <w:p>
      <w:pPr>
        <w:pStyle w:val="ListBullet"/>
      </w:pPr>
      <w:r>
        <w:t>Einkauf: Tobias Lange (Strategischer Einkauf Halbleiter), Sabine Hartmann (Head Direct)</w:t>
      </w:r>
    </w:p>
    <w:p>
      <w:pPr>
        <w:pStyle w:val="ListBullet"/>
      </w:pPr>
      <w:r>
        <w:t>Compliance / Cybersecurity: CISO-Referat (delegiert)</w:t>
      </w:r>
    </w:p>
    <w:p>
      <w:pPr>
        <w:pStyle w:val="ListBullet"/>
      </w:pPr>
      <w:r>
        <w:t>OEM-Vertretung: Stefan Richter (CMO/BD, mit BMW-/MBZ-Hut)</w:t>
      </w:r>
    </w:p>
    <w:p>
      <w:pPr>
        <w:pStyle w:val="Heading3"/>
      </w:pPr>
      <w:r>
        <w:t>Bewertung G1 (Konzept) - Pruefkriterien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Kriterium</w:t>
            </w:r>
          </w:p>
        </w:tc>
        <w:tc>
          <w:tcPr>
            <w:tcW w:type="dxa" w:w="2880"/>
          </w:tcPr>
          <w:p>
            <w:r>
              <w:t>Bewertung</w:t>
            </w:r>
          </w:p>
        </w:tc>
        <w:tc>
          <w:tcPr>
            <w:tcW w:type="dxa" w:w="2880"/>
          </w:tcPr>
          <w:p>
            <w:r>
              <w:t>Kommentar</w:t>
            </w:r>
          </w:p>
        </w:tc>
      </w:tr>
      <w:tr>
        <w:tc>
          <w:tcPr>
            <w:tcW w:type="dxa" w:w="2880"/>
          </w:tcPr>
          <w:p>
            <w:r>
              <w:t>Business-Case (NPV 7 Jahre)</w:t>
            </w:r>
          </w:p>
        </w:tc>
        <w:tc>
          <w:tcPr>
            <w:tcW w:type="dxa" w:w="2880"/>
          </w:tcPr>
          <w:p>
            <w:r>
              <w:t>GO</w:t>
            </w:r>
          </w:p>
        </w:tc>
        <w:tc>
          <w:tcPr>
            <w:tcW w:type="dxa" w:w="2880"/>
          </w:tcPr>
          <w:p>
            <w:r>
              <w:t>+18,5 Mio. EUR, Pay-back 26 Monate</w:t>
            </w:r>
          </w:p>
        </w:tc>
      </w:tr>
      <w:tr>
        <w:tc>
          <w:tcPr>
            <w:tcW w:type="dxa" w:w="2880"/>
          </w:tcPr>
          <w:p>
            <w:r>
              <w:t>Technische Machbarkeit (Architekturkonzept)</w:t>
            </w:r>
          </w:p>
        </w:tc>
        <w:tc>
          <w:tcPr>
            <w:tcW w:type="dxa" w:w="2880"/>
          </w:tcPr>
          <w:p>
            <w:r>
              <w:t>GO</w:t>
            </w:r>
          </w:p>
        </w:tc>
        <w:tc>
          <w:tcPr>
            <w:tcW w:type="dxa" w:w="2880"/>
          </w:tcPr>
          <w:p>
            <w:r>
              <w:t>Cloud-Backend AWS Frankfurt; Delta-OTA via DM/AB-Partitionsmodell</w:t>
            </w:r>
          </w:p>
        </w:tc>
      </w:tr>
      <w:tr>
        <w:tc>
          <w:tcPr>
            <w:tcW w:type="dxa" w:w="2880"/>
          </w:tcPr>
          <w:p>
            <w:r>
              <w:t>Cybersecurity (ISO/SAE 21434)</w:t>
            </w:r>
          </w:p>
        </w:tc>
        <w:tc>
          <w:tcPr>
            <w:tcW w:type="dxa" w:w="2880"/>
          </w:tcPr>
          <w:p>
            <w:r>
              <w:t>GO mit Auflage</w:t>
            </w:r>
          </w:p>
        </w:tc>
        <w:tc>
          <w:tcPr>
            <w:tcW w:type="dxa" w:w="2880"/>
          </w:tcPr>
          <w:p>
            <w:r>
              <w:t>TARA-Workshop in G2 nachholen</w:t>
            </w:r>
          </w:p>
        </w:tc>
      </w:tr>
      <w:tr>
        <w:tc>
          <w:tcPr>
            <w:tcW w:type="dxa" w:w="2880"/>
          </w:tcPr>
          <w:p>
            <w:r>
              <w:t>Regulatorik (UNECE R155/R156)</w:t>
            </w:r>
          </w:p>
        </w:tc>
        <w:tc>
          <w:tcPr>
            <w:tcW w:type="dxa" w:w="2880"/>
          </w:tcPr>
          <w:p>
            <w:r>
              <w:t>GO</w:t>
            </w:r>
          </w:p>
        </w:tc>
        <w:tc>
          <w:tcPr>
            <w:tcW w:type="dxa" w:w="2880"/>
          </w:tcPr>
          <w:p>
            <w:r>
              <w:t>Compliance-Roadmap dokumentiert</w:t>
            </w:r>
          </w:p>
        </w:tc>
      </w:tr>
      <w:tr>
        <w:tc>
          <w:tcPr>
            <w:tcW w:type="dxa" w:w="2880"/>
          </w:tcPr>
          <w:p>
            <w:r>
              <w:t>Ressourcen-Verfuegbarkeit</w:t>
            </w:r>
          </w:p>
        </w:tc>
        <w:tc>
          <w:tcPr>
            <w:tcW w:type="dxa" w:w="2880"/>
          </w:tcPr>
          <w:p>
            <w:r>
              <w:t>GO</w:t>
            </w:r>
          </w:p>
        </w:tc>
        <w:tc>
          <w:tcPr>
            <w:tcW w:type="dxa" w:w="2880"/>
          </w:tcPr>
          <w:p>
            <w:r>
              <w:t>RSG 8 FTE bestaetigt; Werkstudent-Pool</w:t>
            </w:r>
          </w:p>
        </w:tc>
      </w:tr>
      <w:tr>
        <w:tc>
          <w:tcPr>
            <w:tcW w:type="dxa" w:w="2880"/>
          </w:tcPr>
          <w:p>
            <w:r>
              <w:t>Lieferanten-Strategie Cloud</w:t>
            </w:r>
          </w:p>
        </w:tc>
        <w:tc>
          <w:tcPr>
            <w:tcW w:type="dxa" w:w="2880"/>
          </w:tcPr>
          <w:p>
            <w:r>
              <w:t>PARK</w:t>
            </w:r>
          </w:p>
        </w:tc>
        <w:tc>
          <w:tcPr>
            <w:tcW w:type="dxa" w:w="2880"/>
          </w:tcPr>
          <w:p>
            <w:r>
              <w:t>Cloud-Service-Beschaffung in G2 finalisieren</w:t>
            </w:r>
          </w:p>
        </w:tc>
      </w:tr>
    </w:tbl>
    <w:p>
      <w:pPr>
        <w:pStyle w:val="Heading3"/>
      </w:pPr>
      <w:r>
        <w:t>Gate-Entscheidung</w:t>
      </w:r>
    </w:p>
    <w:p>
      <w:r>
        <w:t>Der Sponsoren-Kreis erteilt G1-Freigabe (GO mit Auflagen). Das Projekt geht in Phase 2 (Konzept-Vertiefung und Architekturspezifikation) ueber. Naechstes Gate (G2 - Definition) ist fuer den 5. Oktober 2023 terminiert. Budget G1-&gt;G2: 480.000 EUR (Engineering RSG + externe Cybersecurity-Beratung).</w:t>
      </w:r>
    </w:p>
    <w:p>
      <w:pPr>
        <w:pStyle w:val="Heading3"/>
      </w:pPr>
      <w:r>
        <w:t>Auflagen / Action Items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Nr.</w:t>
            </w:r>
          </w:p>
        </w:tc>
        <w:tc>
          <w:tcPr>
            <w:tcW w:type="dxa" w:w="2160"/>
          </w:tcPr>
          <w:p>
            <w:r>
              <w:t>Auflage</w:t>
            </w:r>
          </w:p>
        </w:tc>
        <w:tc>
          <w:tcPr>
            <w:tcW w:type="dxa" w:w="2160"/>
          </w:tcPr>
          <w:p>
            <w:r>
              <w:t>Verantwortlich</w:t>
            </w:r>
          </w:p>
        </w:tc>
        <w:tc>
          <w:tcPr>
            <w:tcW w:type="dxa" w:w="2160"/>
          </w:tcPr>
          <w:p>
            <w:r>
              <w:t>Termin</w:t>
            </w:r>
          </w:p>
        </w:tc>
      </w:tr>
      <w:tr>
        <w:tc>
          <w:tcPr>
            <w:tcW w:type="dxa" w:w="2160"/>
          </w:tcPr>
          <w:p>
            <w:r>
              <w:t>A1</w:t>
            </w:r>
          </w:p>
        </w:tc>
        <w:tc>
          <w:tcPr>
            <w:tcW w:type="dxa" w:w="2160"/>
          </w:tcPr>
          <w:p>
            <w:r>
              <w:t>TARA-Workshop nach ISO/SAE 21434 mit externem TUV-Auditor</w:t>
            </w:r>
          </w:p>
        </w:tc>
        <w:tc>
          <w:tcPr>
            <w:tcW w:type="dxa" w:w="2160"/>
          </w:tcPr>
          <w:p>
            <w:r>
              <w:t>Lars Wittmann</w:t>
            </w:r>
          </w:p>
        </w:tc>
        <w:tc>
          <w:tcPr>
            <w:tcW w:type="dxa" w:w="2160"/>
          </w:tcPr>
          <w:p>
            <w:r>
              <w:t>30.6.2023</w:t>
            </w:r>
          </w:p>
        </w:tc>
      </w:tr>
      <w:tr>
        <w:tc>
          <w:tcPr>
            <w:tcW w:type="dxa" w:w="2160"/>
          </w:tcPr>
          <w:p>
            <w:r>
              <w:t>A2</w:t>
            </w:r>
          </w:p>
        </w:tc>
        <w:tc>
          <w:tcPr>
            <w:tcW w:type="dxa" w:w="2160"/>
          </w:tcPr>
          <w:p>
            <w:r>
              <w:t>Cloud-Service-Anbieter-Shortlist (AWS / Azure / GCP) inkl. DSGVO-Schufa</w:t>
            </w:r>
          </w:p>
        </w:tc>
        <w:tc>
          <w:tcPr>
            <w:tcW w:type="dxa" w:w="2160"/>
          </w:tcPr>
          <w:p>
            <w:r>
              <w:t>Tobias Lange</w:t>
            </w:r>
          </w:p>
        </w:tc>
        <w:tc>
          <w:tcPr>
            <w:tcW w:type="dxa" w:w="2160"/>
          </w:tcPr>
          <w:p>
            <w:r>
              <w:t>31.7.2023</w:t>
            </w:r>
          </w:p>
        </w:tc>
      </w:tr>
      <w:tr>
        <w:tc>
          <w:tcPr>
            <w:tcW w:type="dxa" w:w="2160"/>
          </w:tcPr>
          <w:p>
            <w:r>
              <w:t>A3</w:t>
            </w:r>
          </w:p>
        </w:tc>
        <w:tc>
          <w:tcPr>
            <w:tcW w:type="dxa" w:w="2160"/>
          </w:tcPr>
          <w:p>
            <w:r>
              <w:t>Detaillierter Resource-Plan G2-G3 (FTE-Heatmap)</w:t>
            </w:r>
          </w:p>
        </w:tc>
        <w:tc>
          <w:tcPr>
            <w:tcW w:type="dxa" w:w="2160"/>
          </w:tcPr>
          <w:p>
            <w:r>
              <w:t>Lars Wittmann / Dr. Kessler</w:t>
            </w:r>
          </w:p>
        </w:tc>
        <w:tc>
          <w:tcPr>
            <w:tcW w:type="dxa" w:w="2160"/>
          </w:tcPr>
          <w:p>
            <w:r>
              <w:t>15.7.2023</w:t>
            </w:r>
          </w:p>
        </w:tc>
      </w:tr>
      <w:tr>
        <w:tc>
          <w:tcPr>
            <w:tcW w:type="dxa" w:w="2160"/>
          </w:tcPr>
          <w:p>
            <w:r>
              <w:t>A4</w:t>
            </w:r>
          </w:p>
        </w:tc>
        <w:tc>
          <w:tcPr>
            <w:tcW w:type="dxa" w:w="2160"/>
          </w:tcPr>
          <w:p>
            <w:r>
              <w:t>Erste Bedrohungsmodellierung (STRIDE) fuer OTA-Backend</w:t>
            </w:r>
          </w:p>
        </w:tc>
        <w:tc>
          <w:tcPr>
            <w:tcW w:type="dxa" w:w="2160"/>
          </w:tcPr>
          <w:p>
            <w:r>
              <w:t>RSG Muenchen</w:t>
            </w:r>
          </w:p>
        </w:tc>
        <w:tc>
          <w:tcPr>
            <w:tcW w:type="dxa" w:w="2160"/>
          </w:tcPr>
          <w:p>
            <w:r>
              <w:t>31.8.2023</w:t>
            </w:r>
          </w:p>
        </w:tc>
      </w:tr>
    </w:tbl>
    <w:p>
      <w:pPr>
        <w:pStyle w:val="Heading3"/>
      </w:pPr>
      <w:r>
        <w:t>Unterschrift</w:t>
      </w:r>
    </w:p>
    <w:p>
      <w:r>
        <w:t>Ort, Datum: Stuttgart, den Muenchen / Heilbronn, 4. Mai 2023</w:t>
      </w:r>
    </w:p>
    <w:p>
      <w:r>
        <w:t>_________________________            _________________________</w:t>
        <w:br/>
        <w:t>Dr. Stefan Hoffmann                          Lars Wittmann</w:t>
        <w:br/>
        <w:t>CTO (Sponsor)                          Projektleitung / Lead Developer</w:t>
        <w:br/>
        <w:t>Brennhagen Elektronik AG                       Brennhagen Software GmbH (RSG)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