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(Shanghai) Co. Ltd. / RCN</w:t>
      </w:r>
    </w:p>
    <w:p>
      <w:r>
        <w:rPr>
          <w:sz w:val="18"/>
        </w:rPr>
        <w:t>Bldg. 12, No. 1518 Lianhang Road, Minhang District, Shanghai 201112, P.R. China  |  Einheitlicher Sozialkredit-Code: 91310115MA1FL42Q38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Steuerbescheid / Tax Assessment 2020 - Brennhagen (Shanghai) Co. Ltd.</w:t>
      </w:r>
    </w:p>
    <w:p>
      <w:pPr>
        <w:jc w:val="center"/>
      </w:pPr>
      <w:r>
        <w:t>Koerperschaftsteuer-Bescheid VR China, Steuerjahr 2020</w:t>
      </w:r>
    </w:p>
    <w:p/>
    <w:p>
      <w:pPr>
        <w:pStyle w:val="Heading3"/>
      </w:pPr>
      <w:r>
        <w:t>Bescheidkopf</w:t>
      </w:r>
    </w:p>
    <w:p>
      <w:r>
        <w:t>Steuerbehoerde: State Taxation Administration, Shanghai Municipal Office, Local Inspectorate Minhang District</w:t>
        <w:br/>
        <w:t>Bescheid-Nr.: SH-MH-CIT-2020-0084771</w:t>
        <w:br/>
        <w:t>Bescheid-Datum: 28. April 2021</w:t>
        <w:br/>
        <w:t>Steuerpflichtige: Brennhagen (Shanghai) Co. Ltd. (RCN)</w:t>
        <w:br/>
        <w:t>Steuerart: Corporate Income Tax (CIT) - VR China</w:t>
        <w:br/>
        <w:t>Steuerjahr: 1.1.2020 - 31.12.2020</w:t>
        <w:br/>
        <w:t>Vertretung in CN: Zhang Hao (Country Manager), Liang Wei (Finance Manager)</w:t>
        <w:br/>
        <w:t>Externe Begleitung: KPMG China (Shanghai Office), Berichtsadressat KPMG Frankfurt (Lead Partner Brennhagen: Dr. Maximilian Brand)</w:t>
      </w:r>
    </w:p>
    <w:p>
      <w:pPr>
        <w:pStyle w:val="Heading3"/>
      </w:pPr>
      <w:r>
        <w:t>Bemessungsgrundlage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Betrag (CNY)</w:t>
            </w:r>
          </w:p>
        </w:tc>
        <w:tc>
          <w:tcPr>
            <w:tcW w:type="dxa" w:w="2880"/>
          </w:tcPr>
          <w:p>
            <w:r>
              <w:t>Betrag (EUR Aequivalent, Kurs 31.12.2020)</w:t>
            </w:r>
          </w:p>
        </w:tc>
      </w:tr>
      <w:tr>
        <w:tc>
          <w:tcPr>
            <w:tcW w:type="dxa" w:w="2880"/>
          </w:tcPr>
          <w:p>
            <w:r>
              <w:t>Umsatzerloese (CIT-Basis)</w:t>
            </w:r>
          </w:p>
        </w:tc>
        <w:tc>
          <w:tcPr>
            <w:tcW w:type="dxa" w:w="2880"/>
          </w:tcPr>
          <w:p>
            <w:r>
              <w:t>182.450.000</w:t>
            </w:r>
          </w:p>
        </w:tc>
        <w:tc>
          <w:tcPr>
            <w:tcW w:type="dxa" w:w="2880"/>
          </w:tcPr>
          <w:p>
            <w:r>
              <w:t>22.806.250</w:t>
            </w:r>
          </w:p>
        </w:tc>
      </w:tr>
      <w:tr>
        <w:tc>
          <w:tcPr>
            <w:tcW w:type="dxa" w:w="2880"/>
          </w:tcPr>
          <w:p>
            <w:r>
              <w:t>Operative Aufwendungen</w:t>
            </w:r>
          </w:p>
        </w:tc>
        <w:tc>
          <w:tcPr>
            <w:tcW w:type="dxa" w:w="2880"/>
          </w:tcPr>
          <w:p>
            <w:r>
              <w:t>-164.200.000</w:t>
            </w:r>
          </w:p>
        </w:tc>
        <w:tc>
          <w:tcPr>
            <w:tcW w:type="dxa" w:w="2880"/>
          </w:tcPr>
          <w:p>
            <w:r>
              <w:t>-20.525.000</w:t>
            </w:r>
          </w:p>
        </w:tc>
      </w:tr>
      <w:tr>
        <w:tc>
          <w:tcPr>
            <w:tcW w:type="dxa" w:w="2880"/>
          </w:tcPr>
          <w:p>
            <w:r>
              <w:t>Zwischensumme Operativ</w:t>
            </w:r>
          </w:p>
        </w:tc>
        <w:tc>
          <w:tcPr>
            <w:tcW w:type="dxa" w:w="2880"/>
          </w:tcPr>
          <w:p>
            <w:r>
              <w:t>18.250.000</w:t>
            </w:r>
          </w:p>
        </w:tc>
        <w:tc>
          <w:tcPr>
            <w:tcW w:type="dxa" w:w="2880"/>
          </w:tcPr>
          <w:p>
            <w:r>
              <w:t>2.281.250</w:t>
            </w:r>
          </w:p>
        </w:tc>
      </w:tr>
      <w:tr>
        <w:tc>
          <w:tcPr>
            <w:tcW w:type="dxa" w:w="2880"/>
          </w:tcPr>
          <w:p>
            <w:r>
              <w:t>F&amp;E-Superabzug (175 %, gemaess Cai Shui 2018-99)</w:t>
            </w:r>
          </w:p>
        </w:tc>
        <w:tc>
          <w:tcPr>
            <w:tcW w:type="dxa" w:w="2880"/>
          </w:tcPr>
          <w:p>
            <w:r>
              <w:t>-3.250.000</w:t>
            </w:r>
          </w:p>
        </w:tc>
        <w:tc>
          <w:tcPr>
            <w:tcW w:type="dxa" w:w="2880"/>
          </w:tcPr>
          <w:p>
            <w:r>
              <w:t>-406.250</w:t>
            </w:r>
          </w:p>
        </w:tc>
      </w:tr>
      <w:tr>
        <w:tc>
          <w:tcPr>
            <w:tcW w:type="dxa" w:w="2880"/>
          </w:tcPr>
          <w:p>
            <w:r>
              <w:t>Sonstige Erloese (Zinsen)</w:t>
            </w:r>
          </w:p>
        </w:tc>
        <w:tc>
          <w:tcPr>
            <w:tcW w:type="dxa" w:w="2880"/>
          </w:tcPr>
          <w:p>
            <w:r>
              <w:t>+420.000</w:t>
            </w:r>
          </w:p>
        </w:tc>
        <w:tc>
          <w:tcPr>
            <w:tcW w:type="dxa" w:w="2880"/>
          </w:tcPr>
          <w:p>
            <w:r>
              <w:t>+52.500</w:t>
            </w:r>
          </w:p>
        </w:tc>
      </w:tr>
      <w:tr>
        <w:tc>
          <w:tcPr>
            <w:tcW w:type="dxa" w:w="2880"/>
          </w:tcPr>
          <w:p>
            <w:r>
              <w:t>Steuerpflichtiges Einkommen (CIT-Basis)</w:t>
            </w:r>
          </w:p>
        </w:tc>
        <w:tc>
          <w:tcPr>
            <w:tcW w:type="dxa" w:w="2880"/>
          </w:tcPr>
          <w:p>
            <w:r>
              <w:t>15.420.000</w:t>
            </w:r>
          </w:p>
        </w:tc>
        <w:tc>
          <w:tcPr>
            <w:tcW w:type="dxa" w:w="2880"/>
          </w:tcPr>
          <w:p>
            <w:r>
              <w:t>1.927.500</w:t>
            </w:r>
          </w:p>
        </w:tc>
      </w:tr>
    </w:tbl>
    <w:p>
      <w:pPr>
        <w:pStyle w:val="Heading3"/>
      </w:pPr>
      <w:r>
        <w:t>Steuerberechnung</w:t>
      </w:r>
    </w:p>
    <w:p>
      <w:r>
        <w:t>Steuersatz Regelfall CIT VR China: 25 %.</w:t>
        <w:br/>
        <w:t>Anwendbare Beguenstigung: keine HNTE-Zertifizierung in 2020 (Antrag erst 2021 gestellt). Berechnete Koerperschaftsteuer: 3.855.000 CNY (entspricht ca. 481.875 EUR).</w:t>
        <w:br/>
        <w:t>Bereits geleistete Vorauszahlungen (vierteljaehrlich): 3.700.000 CNY.</w:t>
        <w:br/>
        <w:t>Nachzahlungsbetrag: 155.000 CNY (ca. 19.375 EUR), faellig zum 30. Mai 2021.</w:t>
        <w:br/>
        <w:t>Saeumniszinsen: keine.</w:t>
      </w:r>
    </w:p>
    <w:p>
      <w:pPr>
        <w:pStyle w:val="Heading3"/>
      </w:pPr>
      <w:r>
        <w:t>Hinweise und Auflagen</w:t>
      </w:r>
    </w:p>
    <w:p>
      <w:pPr>
        <w:pStyle w:val="ListBullet"/>
      </w:pPr>
      <w:r>
        <w:t>Transfer-Pricing-Dokumentation Local File 2020 fristgerecht eingereicht (30.6.2021).</w:t>
      </w:r>
    </w:p>
    <w:p>
      <w:pPr>
        <w:pStyle w:val="ListBullet"/>
      </w:pPr>
      <w:r>
        <w:t>Master File / Country-by-Country-Report werden ueber Konzernmutter REA via BZSt Deutschland gepflegt; Mitteilungspflicht in CN per Formular A108 erfuellt.</w:t>
      </w:r>
    </w:p>
    <w:p>
      <w:pPr>
        <w:pStyle w:val="ListBullet"/>
      </w:pPr>
      <w:r>
        <w:t>VAT-Sonderpruefung 2020 ohne Beanstandung abgeschlossen (Bescheid Nr. SH-MH-VAT-2020-1142).</w:t>
      </w:r>
    </w:p>
    <w:p>
      <w:pPr>
        <w:pStyle w:val="ListBullet"/>
      </w:pPr>
      <w:r>
        <w:t>Hinweis: ab Steuerjahr 2021 voraussichtlich HNTE-Status (Hightech-Statusermaessigung 15 %) - Auswirkungen werden separat im Jahresabschluss Folgejahr erlaeutert.</w:t>
      </w:r>
    </w:p>
    <w:p>
      <w:pPr>
        <w:pStyle w:val="Heading3"/>
      </w:pPr>
      <w:r>
        <w:t>Rechtsbehelfsbelehrung</w:t>
      </w:r>
    </w:p>
    <w:p>
      <w:r>
        <w:t>Gegen diesen Bescheid kann binnen 60 Tagen ab Zustellung Einspruch beim Shanghai Municipal Tax Administrative Reconsideration Office eingelegt werden. Ein Einspruch ist nicht beabsichtigt (Abstimmung Steuerteam RCN/Konzern Dr. Heike Berger, Group Tax Director, 12. Mai 2021).</w:t>
      </w:r>
    </w:p>
    <w:p>
      <w:pPr>
        <w:pStyle w:val="Heading3"/>
      </w:pPr>
      <w:r>
        <w:t>Verteiler intern</w:t>
      </w:r>
    </w:p>
    <w:p>
      <w:pPr>
        <w:pStyle w:val="ListBullet"/>
      </w:pPr>
      <w:r>
        <w:t>Liang Wei (Finance Manager RCN) - Ablage Local Books</w:t>
      </w:r>
    </w:p>
    <w:p>
      <w:pPr>
        <w:pStyle w:val="ListBullet"/>
      </w:pPr>
      <w:r>
        <w:t>Zhang Hao (Country Manager RCN)</w:t>
      </w:r>
    </w:p>
    <w:p>
      <w:pPr>
        <w:pStyle w:val="ListBullet"/>
      </w:pPr>
      <w:r>
        <w:t>Dr. Heike Berger (Group Tax Director, Konzern)</w:t>
      </w:r>
    </w:p>
    <w:p>
      <w:pPr>
        <w:pStyle w:val="ListBullet"/>
      </w:pPr>
      <w:r>
        <w:t>Markus Pflanzer (Group Treasurer) - Liquiditaetssteuerung</w:t>
      </w:r>
    </w:p>
    <w:p>
      <w:pPr>
        <w:pStyle w:val="ListBullet"/>
      </w:pPr>
      <w:r>
        <w:t>Laura Bauer (CFO) - quartalsbezogen im Tax-Review</w:t>
      </w:r>
    </w:p>
    <w:p>
      <w:pPr>
        <w:pStyle w:val="ListBullet"/>
      </w:pPr>
      <w:r>
        <w:t>KPMG China (Bestaetigungs-Memo)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