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w:t>
      </w:r>
    </w:p>
    <w:p>
      <w:r>
        <w:t>────────────────────────────────────────────────────────────────────────────────</w:t>
      </w:r>
    </w:p>
    <w:p>
      <w:pPr>
        <w:pStyle w:val="Heading2"/>
      </w:pPr>
      <w:r>
        <w:t>Liefervertrag Halbleiter-Komponenten – Brennhagen Elektronik AG / Robert Bosch GmbH – Semiconductor Div.</w:t>
      </w:r>
    </w:p>
    <w:p/>
    <w:p>
      <w:pPr>
        <w:pStyle w:val="Heading3"/>
      </w:pPr>
      <w:r>
        <w:t>Präambel</w:t>
      </w:r>
    </w:p>
    <w:p>
      <w:r>
        <w:t>Brennhagen Elektronik AG (Käufer) und Robert Bosch GmbH – Semiconductor Div. (Lieferant) schließen diesen Liefervertrag über die Lieferung von Halbleiterkomponenten für die Serienproduktion in den Werken des Käufers.</w:t>
      </w:r>
    </w:p>
    <w:p>
      <w:pPr>
        <w:pStyle w:val="Heading3"/>
      </w:pPr>
      <w:r>
        <w:t>§ 1 Gegenstand</w:t>
      </w:r>
    </w:p>
    <w:p>
      <w:r>
        <w:t>(1) Robert Bosch GmbH – Semiconductor Div. liefert Halbleiter, Mikrocontroller, Leistungshalbleiter und verwandte Komponenten für den Einsatz in den Produktlinien ECU-900, ADAS-Vision 4D und BatteryMS-12 des Käufers.</w:t>
      </w:r>
    </w:p>
    <w:p>
      <w:r>
        <w:t>(2) Das Jahresvolumen beläuft sich auf ca. 34.000.000 €. Einzelabrufe erfolgen über das SAP-EDI-System des Käufers.</w:t>
      </w:r>
    </w:p>
    <w:p>
      <w:pPr>
        <w:pStyle w:val="Heading3"/>
      </w:pPr>
      <w:r>
        <w:t>§ 2 Preise und Preissicherung</w:t>
      </w:r>
    </w:p>
    <w:p>
      <w:r>
        <w:t>(1) Preise basieren auf der aktuellen Preisliste (BOS-PL-2022-REA). Preisanpassungen bedürfen der schriftlichen Genehmigung des Käufers mit einer Vorlaufzeit von 6 Monaten.</w:t>
      </w:r>
    </w:p>
    <w:p>
      <w:r>
        <w:t>(2) Der Käufer und Robert Bosch GmbH – Semiconductor Div. vereinbaren für sicherheitskritische Bauteile eine Preisbindung über 24 Monate.</w:t>
      </w:r>
    </w:p>
    <w:p>
      <w:pPr>
        <w:pStyle w:val="Heading3"/>
      </w:pPr>
      <w:r>
        <w:t>§ 3 Allokation und Liefersicherheit</w:t>
      </w:r>
    </w:p>
    <w:p>
      <w:r>
        <w:t>(1) Robert Bosch GmbH – Semiconductor Div. verpflichtet sich, die vereinbarten Jahresvolumina priorisiert zu liefern.</w:t>
      </w:r>
    </w:p>
    <w:p>
      <w:r>
        <w:t>(2) Im Falle von Allokationsengpässen (Semiconductor Shortage) hat der Käufer gemäß Allokationsvereinbarung (Exhibit C) einen bevorzugten Anteil von 68 % der verfügbaren Kapazitäten.</w:t>
      </w:r>
    </w:p>
    <w:p>
      <w:pPr>
        <w:pStyle w:val="Heading3"/>
      </w:pPr>
      <w:r>
        <w:t>§ 4 Qualität und Compliance</w:t>
      </w:r>
    </w:p>
    <w:p>
      <w:r>
        <w:t>(1) Alle Produkte müssen AEC-Q100 (für Automotive ICs) entsprechen.</w:t>
      </w:r>
    </w:p>
    <w:p>
      <w:r>
        <w:t>(2) REACH- und RoHS-Konformität ist durch aktuelle Konformitätserklärungen nachzuweisen.</w:t>
      </w:r>
    </w:p>
    <w:p>
      <w:r>
        <w:t>(3) Konfliktmineralien-Meldepflicht gemäß OECD-Leitfaden und Dodd-Frank Act Section 1502.</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