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Arbeitszeit / Gleitzeit - Konzern 2022</w:t>
      </w:r>
    </w:p>
    <w:p>
      <w:pPr>
        <w:jc w:val="center"/>
      </w:pPr>
      <w:r>
        <w:t>Konzernbetriebsvereinbarung zwischen Konzernbetriebsrat und Konzernleitung</w:t>
      </w:r>
    </w:p>
    <w:p/>
    <w:p>
      <w:pPr>
        <w:pStyle w:val="Heading3"/>
      </w:pPr>
      <w:r>
        <w:t>Vereinbarende</w:t>
      </w:r>
    </w:p>
    <w:p>
      <w:r>
        <w:t>Konzernleitung: Brennhagen Elektronik AG, vertreten durch den Vorstand (Anna Mueller / CEO und Dr. Thomas Weber / COO).</w:t>
        <w:br/>
        <w:t>Konzernbetriebsrat (KBR): vertreten durch Marlies Duerr (Vorsitzende; Aufsichtsraetin), Klaus Bauer (stv. Vorsitz, Werk Heilbronn).</w:t>
        <w:br/>
        <w:t>Geltungsbereich: alle deutschen Konzerngesellschaften (REA Holding/RHO, REG Heilbronn, RSG Muenchen); fuer auslaendische Tochtergesellschaften gilt lokales Recht (subsidiaere Empfehlung).</w:t>
        <w:br/>
        <w:t>Inkrafttreten: 1. Mai 2022; unbefristet, mit Kuendigungsfrist 6 Monate zum Quartalsende.</w:t>
      </w:r>
    </w:p>
    <w:p>
      <w:pPr>
        <w:pStyle w:val="Heading3"/>
      </w:pPr>
      <w:r>
        <w:t>Praeambel</w:t>
      </w:r>
    </w:p>
    <w:p>
      <w:r>
        <w:t>Die Vertragsparteien sind sich einig, dass moderne Arbeitszeitmodelle zur Vereinbarkeit von Beruf, Familie und Gesundheit beitragen und gleichzeitig die operative Leistungsfaehigkeit der Brennhagen-Gruppe sichern. Diese Konzernbetriebsvereinbarung regelt das Gleitzeitmodell fuer Tarifbeschaeftigte und ATB-Mitarbeitende in der Verwaltung, im indirekten Bereich sowie in den Software- und Entwicklungsabteilungen. Schichtbeschaeftigte (Werk REG, RPL, RCZ, RHU) sind durch eigenstaendige Schichtmodelle in werksbezogenen BVs geregelt.</w:t>
      </w:r>
    </w:p>
    <w:p>
      <w:pPr>
        <w:pStyle w:val="Heading3"/>
      </w:pPr>
      <w:r>
        <w:t>Gleitzeit-Eckwerte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Regelung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Regelarbeitszeit / Woche</w:t>
            </w:r>
          </w:p>
        </w:tc>
        <w:tc>
          <w:tcPr>
            <w:tcW w:type="dxa" w:w="4320"/>
          </w:tcPr>
          <w:p>
            <w:r>
              <w:t>40 Std. (Tarif IG Metall Baden-Wuerttemberg, AT 38 Std.)</w:t>
            </w:r>
          </w:p>
        </w:tc>
      </w:tr>
      <w:tr>
        <w:tc>
          <w:tcPr>
            <w:tcW w:type="dxa" w:w="4320"/>
          </w:tcPr>
          <w:p>
            <w:r>
              <w:t>Kernarbeitszeit</w:t>
            </w:r>
          </w:p>
        </w:tc>
        <w:tc>
          <w:tcPr>
            <w:tcW w:type="dxa" w:w="4320"/>
          </w:tcPr>
          <w:p>
            <w:r>
              <w:t>09:30 - 15:00 Uhr (Mo-Do); Fr 09:30 - 13:30 Uhr</w:t>
            </w:r>
          </w:p>
        </w:tc>
      </w:tr>
      <w:tr>
        <w:tc>
          <w:tcPr>
            <w:tcW w:type="dxa" w:w="4320"/>
          </w:tcPr>
          <w:p>
            <w:r>
              <w:t>Gleitspanne morgens</w:t>
            </w:r>
          </w:p>
        </w:tc>
        <w:tc>
          <w:tcPr>
            <w:tcW w:type="dxa" w:w="4320"/>
          </w:tcPr>
          <w:p>
            <w:r>
              <w:t>06:30 - 09:30 Uhr</w:t>
            </w:r>
          </w:p>
        </w:tc>
      </w:tr>
      <w:tr>
        <w:tc>
          <w:tcPr>
            <w:tcW w:type="dxa" w:w="4320"/>
          </w:tcPr>
          <w:p>
            <w:r>
              <w:t>Gleitspanne abends</w:t>
            </w:r>
          </w:p>
        </w:tc>
        <w:tc>
          <w:tcPr>
            <w:tcW w:type="dxa" w:w="4320"/>
          </w:tcPr>
          <w:p>
            <w:r>
              <w:t>15:00 - 20:00 Uhr (Fr bis 18:00 Uhr)</w:t>
            </w:r>
          </w:p>
        </w:tc>
      </w:tr>
      <w:tr>
        <w:tc>
          <w:tcPr>
            <w:tcW w:type="dxa" w:w="4320"/>
          </w:tcPr>
          <w:p>
            <w:r>
              <w:t>Pausenpflicht</w:t>
            </w:r>
          </w:p>
        </w:tc>
        <w:tc>
          <w:tcPr>
            <w:tcW w:type="dxa" w:w="4320"/>
          </w:tcPr>
          <w:p>
            <w:r>
              <w:t>30 min ab 6 Std., 45 min ab 9 Std.</w:t>
            </w:r>
          </w:p>
        </w:tc>
      </w:tr>
      <w:tr>
        <w:tc>
          <w:tcPr>
            <w:tcW w:type="dxa" w:w="4320"/>
          </w:tcPr>
          <w:p>
            <w:r>
              <w:t>Gleitzeitkonto</w:t>
            </w:r>
          </w:p>
        </w:tc>
        <w:tc>
          <w:tcPr>
            <w:tcW w:type="dxa" w:w="4320"/>
          </w:tcPr>
          <w:p>
            <w:r>
              <w:t>-30 / +60 Stunden zulaessig (Monatsdurchschnitt -10/+20)</w:t>
            </w:r>
          </w:p>
        </w:tc>
      </w:tr>
      <w:tr>
        <w:tc>
          <w:tcPr>
            <w:tcW w:type="dxa" w:w="4320"/>
          </w:tcPr>
          <w:p>
            <w:r>
              <w:t>Saldoausgleich (Abbau)</w:t>
            </w:r>
          </w:p>
        </w:tc>
        <w:tc>
          <w:tcPr>
            <w:tcW w:type="dxa" w:w="4320"/>
          </w:tcPr>
          <w:p>
            <w:r>
              <w:t>halbjaehrlich, sonst Vereinbarung mit Vorgesetzter</w:t>
            </w:r>
          </w:p>
        </w:tc>
      </w:tr>
      <w:tr>
        <w:tc>
          <w:tcPr>
            <w:tcW w:type="dxa" w:w="4320"/>
          </w:tcPr>
          <w:p>
            <w:r>
              <w:t>Mobile Work-Quote</w:t>
            </w:r>
          </w:p>
        </w:tc>
        <w:tc>
          <w:tcPr>
            <w:tcW w:type="dxa" w:w="4320"/>
          </w:tcPr>
          <w:p>
            <w:r>
              <w:t>bis 60 % der Wochenarbeitszeit, ortsunabhaengig (DE)</w:t>
            </w:r>
          </w:p>
        </w:tc>
      </w:tr>
    </w:tbl>
    <w:p>
      <w:pPr>
        <w:pStyle w:val="Heading3"/>
      </w:pPr>
      <w:r>
        <w:t>Erfassung und Datenschutz</w:t>
      </w:r>
    </w:p>
    <w:p>
      <w:pPr>
        <w:pStyle w:val="ListBullet"/>
      </w:pPr>
      <w:r>
        <w:t>Erfassung ueber SAP SuccessFactors Time Management; Selbsterfassung mit Vier-Augen-Pruefung durch Fuehrungskraft.</w:t>
      </w:r>
    </w:p>
    <w:p>
      <w:pPr>
        <w:pStyle w:val="ListBullet"/>
      </w:pPr>
      <w:r>
        <w:t>Datenschutz: Zugriff nur fuer Beschaeftigte selbst, Fuehrungskraft, HR und ggf. BR. Auswertungen ueber Einzelpersonen sind verboten - Ausnahme: dokumentierte arbeitsrechtliche Anlaesse.</w:t>
      </w:r>
    </w:p>
    <w:p>
      <w:pPr>
        <w:pStyle w:val="ListBullet"/>
      </w:pPr>
      <w:r>
        <w:t>Aufbewahrung gemaess § 16 ArbZG (2 Jahre) und BDSG.</w:t>
      </w:r>
    </w:p>
    <w:p>
      <w:pPr>
        <w:pStyle w:val="ListBullet"/>
      </w:pPr>
      <w:r>
        <w:t>Loeschkonzept abgestimmt mit Datenschutzbeauftragtem (Frau Dr. Beate Holler, extern).</w:t>
      </w:r>
    </w:p>
    <w:p>
      <w:pPr>
        <w:pStyle w:val="Heading3"/>
      </w:pPr>
      <w:r>
        <w:t>Mehrarbeit / Ueberstunden</w:t>
      </w:r>
    </w:p>
    <w:p>
      <w:r>
        <w:t>Mehrarbeit ueber das Gleitzeitkonto hinaus (&gt;60 Std. Saldo) ist nur zulaessig bei schriftlicher Anordnung der Fuehrungskraft und Information des BR (kein Zustimmungsvorbehalt unterhalb 80 Std.). Ueberstunden werden 1:1 in Freizeit ausgeglichen; auf Wunsch der Mitarbeitenden auch in Geld (Tarif-Zuschlag 25 %). Auflagen aus dem Arbeitszeitgesetz (11 Std. Ruhezeit, Hoechstdauer 10 Std./Tag) sind strikt einzuhalten.</w:t>
      </w:r>
    </w:p>
    <w:p>
      <w:pPr>
        <w:pStyle w:val="Heading3"/>
      </w:pPr>
      <w:r>
        <w:t>Mobile Work und Erreichbarkeit</w:t>
      </w:r>
    </w:p>
    <w:p>
      <w:r>
        <w:t>Beschaeftigte koennen bis zu 60 % der Wochenarbeitszeit mobil arbeiten (innerhalb DE). Ausserhalb der individuellen Arbeitszeit besteht kein Pflicht zur dienstlichen Erreichbarkeit (»Recht auf Nicht-Erreichbarkeit«). Notfallnummer / Rufbereitschaftsdienste sind in gesonderten BVs geregelt.</w:t>
      </w:r>
    </w:p>
    <w:p>
      <w:pPr>
        <w:pStyle w:val="Heading3"/>
      </w:pPr>
      <w:r>
        <w:t>Schlussbestimmungen</w:t>
      </w:r>
    </w:p>
    <w:p>
      <w:r>
        <w:t>Streitfaelle werden durch eine paritaetisch besetzte Kommission (2 KBR / 2 GL) erstrangig behandelt. Bei Nichteinigung: Einigungsstelle gemaess § 76 BetrVG. Diese BV ersetzt die frueheren Einzel-BVs aus 2018 / 2019 (REG / RSG).</w:t>
      </w:r>
    </w:p>
    <w:p>
      <w:pPr>
        <w:pStyle w:val="Heading3"/>
      </w:pPr>
      <w:r>
        <w:t>Unterschriften</w:t>
      </w:r>
    </w:p>
    <w:p>
      <w:r>
        <w:t>Ort, Datum: Stuttgart, den Stuttgart, 14. April 2022</w:t>
      </w:r>
    </w:p>
    <w:p>
      <w:r>
        <w:t>_________________________            _________________________</w:t>
        <w:br/>
        <w:t>Marlies Duerr                          Dr. Thomas Weber</w:t>
        <w:br/>
        <w:t>Vorsitzende Konzernbetriebsrat                          COO / Vorstand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