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Allokationsvereinbarung Halbleitermangel 2021 - Infineon Technologies AG</w:t>
      </w:r>
    </w:p>
    <w:p>
      <w:pPr>
        <w:jc w:val="center"/>
      </w:pPr>
      <w:r>
        <w:t>Sondervereinbarung zur Sicherstellung der Serienversorgung waehrend der globalen Halbleiterkrise</w:t>
      </w:r>
    </w:p>
    <w:p/>
    <w:p>
      <w:pPr>
        <w:pStyle w:val="Heading3"/>
      </w:pPr>
      <w:r>
        <w:t>Vertragsparteien</w:t>
      </w:r>
    </w:p>
    <w:p>
      <w:r>
        <w:t>Lieferant:</w:t>
        <w:br/>
        <w:t>Infineon Technologies AG</w:t>
        <w:br/>
        <w:t>Am Campeon 1-15, 85579 Neubiberg</w:t>
        <w:br/>
        <w:t>Lieferanten-Nr. Brennhagen: REA-L-INF</w:t>
        <w:br/>
        <w:t>Kategorie / Warengruppe: Mikrocontroller / Power-Halbleiter / AURIX TC3xx / TLE-Treiber</w:t>
        <w:br/>
        <w:t>Ansprechpartner Lieferant: Herr Dr. Markus Boettcher (Key Account Manager Automotive Tier-1)</w:t>
        <w:br/>
        <w:t>Qualitaetsverantwortlich Lieferant: Frau Dr. Stefanie Lenz</w:t>
      </w:r>
    </w:p>
    <w:p>
      <w:r>
        <w:t>Auftraggeberin:</w:t>
        <w:br/>
        <w:t>Brennhagen Elektronik AG, Vaihinger Straße 120, 70567 Stuttgart</w:t>
        <w:br/>
        <w:t>Strategischer Einkauf Halbleiter: Tobias Lange (Lead Buyer)</w:t>
        <w:br/>
        <w:t>Head of Direct Materials: Sabine Hartmann</w:t>
        <w:br/>
        <w:t>Supplier Quality: Andreas Kaufmann (Head of Supplier Quality, Personalunion Werk-Q REG)</w:t>
        <w:br/>
        <w:t>Risk Manager: Christine Berger (Supplier Risk)</w:t>
        <w:br/>
        <w:t>Vorstandsverantwortung: Dr. Robert Walther (CPO, Operations) - Berichtslinie an COO Dr. Thomas Weber</w:t>
      </w:r>
    </w:p>
    <w:p>
      <w:pPr>
        <w:pStyle w:val="Heading3"/>
      </w:pPr>
      <w:r>
        <w:t>Praeambel</w:t>
      </w:r>
    </w:p>
    <w:p>
      <w:r>
        <w:t>Die globale Halbleiterkrise hat im Jahr 2021 zu erheblichen Lieferengpaessen gefuehrt. Die Parteien beabsichtigen, mit dieser Sondervereinbarung die Versorgung der Brennhagen-Serienprogramme (ICP-3, ECU-900, ADAS-V4D, BMS-12, LightCtrl-7) waehrend des Allokations-Zeitraums sicherzustellen und gegenseitige Eskalationspflichten zu definieren. Diese Vereinbarung ergaenzt den bestehenden Rahmenliefervertrag und den Long-Term Agreement (LTA), bleibt im Konflikt jedoch vorrangig.</w:t>
      </w:r>
    </w:p>
    <w:p>
      <w:pPr>
        <w:pStyle w:val="Heading3"/>
      </w:pPr>
      <w:r>
        <w:t>§ Vereinbarungen</w:t>
      </w:r>
    </w:p>
    <w:p>
      <w:pPr>
        <w:pStyle w:val="Heading4"/>
      </w:pPr>
      <w:r>
        <w:t>§ 1 Allokationsmenge und Verbindlichkeit</w:t>
      </w:r>
    </w:p>
    <w:p>
      <w:r>
        <w:rPr>
          <w:b/>
        </w:rPr>
        <w:t xml:space="preserve">(1) </w:t>
      </w:r>
      <w:r>
        <w:t>Infineon Technologies AG sichert Brennhagen Elektronik AG eine garantierte Mindest-Allokation in Hoehe von 100 % des im Forecast (12-Monats-Rolling) hinterlegten Volumens zu. Basis: Forecast-Stand 30.6.2021, ueberprueft monatlich im Allocation-Call.</w:t>
      </w:r>
    </w:p>
    <w:p>
      <w:r>
        <w:rPr>
          <w:b/>
        </w:rPr>
        <w:t xml:space="preserve">(2) </w:t>
      </w:r>
      <w:r>
        <w:t>Im Falle Knappheit gelten die nachstehenden Prioritaetsklassen: Klasse A (Serienprogramme mit aktiver OEM-SOP-Bindung) wird vor Klasse B (Ersatzteilbedarf) und Klasse C (Sample- und Entwicklungsbedarf) bedient.</w:t>
      </w:r>
    </w:p>
    <w:p>
      <w:r>
        <w:rPr>
          <w:b/>
        </w:rPr>
        <w:t xml:space="preserve">(3) </w:t>
      </w:r>
      <w:r>
        <w:t>Bei Unterlieferung &gt; 5 % der zugesicherten Menge greift die Eskalationspflicht binnen 48 Stunden gegenueber CPO Dr. Robert Walther.</w:t>
      </w:r>
    </w:p>
    <w:p>
      <w:pPr>
        <w:pStyle w:val="Heading4"/>
      </w:pPr>
      <w:r>
        <w:t>§ 2 Preisstellung waehrend der Allokation</w:t>
      </w:r>
    </w:p>
    <w:p>
      <w:r>
        <w:rPr>
          <w:b/>
        </w:rPr>
        <w:t xml:space="preserve">(1) </w:t>
      </w:r>
      <w:r>
        <w:t>Die LTA-Preisstellung bleibt grundsaetzlich erhalten. Eine Allocation-Surcharge von max. 8 % auf die Standardkonditionen ist fuer maximal sechs Monate zulaessig und kann nur nach schriftlicher Zustimmung von Dr. Robert Walther (CPO) angewandt werden.</w:t>
      </w:r>
    </w:p>
    <w:p>
      <w:r>
        <w:rPr>
          <w:b/>
        </w:rPr>
        <w:t xml:space="preserve">(2) </w:t>
      </w:r>
      <w:r>
        <w:t>Spot-Mengen ausserhalb der Allokation werden ausschliesslich zu Spotmarktpreis +5 % Handling abgerechnet.</w:t>
      </w:r>
    </w:p>
    <w:p>
      <w:pPr>
        <w:pStyle w:val="Heading4"/>
      </w:pPr>
      <w:r>
        <w:t>§ 3 Transparenz und Reporting</w:t>
      </w:r>
    </w:p>
    <w:p>
      <w:r>
        <w:rPr>
          <w:b/>
        </w:rPr>
        <w:t xml:space="preserve">(1) </w:t>
      </w:r>
      <w:r>
        <w:t>Wochen-Update jeden Donnerstag 16:00 Uhr (Allocation Steering Call), Teilnehmer: Tobias Lange (Brennhagen Lead Buyer), Herr Dr. Markus Boettcher (Key Account Manager Automotive Tier-1).</w:t>
      </w:r>
    </w:p>
    <w:p>
      <w:r>
        <w:rPr>
          <w:b/>
        </w:rPr>
        <w:t xml:space="preserve">(2) </w:t>
      </w:r>
      <w:r>
        <w:t xml:space="preserve">Datenformat: standardisierte Allokationsmatrix (Excel, Vorlage Brennhagen RSK-AM-001) </w:t>
      </w:r>
    </w:p>
    <w:p>
      <w:r>
        <w:rPr>
          <w:b/>
        </w:rPr>
        <w:t xml:space="preserve">(3) </w:t>
      </w:r>
      <w:r>
        <w:t>mit Aufschluesselung nach Brennhagen-Werk (REG Heilbronn, RPL Katowice, RCZ Brno, RHU Gyoer).</w:t>
      </w:r>
    </w:p>
    <w:p>
      <w:pPr>
        <w:pStyle w:val="Heading4"/>
      </w:pPr>
      <w:r>
        <w:t>§ 4 Laufzeit und Beendigung</w:t>
      </w:r>
    </w:p>
    <w:p>
      <w:r>
        <w:rPr>
          <w:b/>
        </w:rPr>
        <w:t xml:space="preserve">(1) </w:t>
      </w:r>
      <w:r>
        <w:t>Diese Vereinbarung gilt rueckwirkend ab 1.7.2021 und endet automatisch, wenn das Branchen-Allokationsverhaeltnis (Quelle: SIA / WSTS) ueber drei Monate in Folge &lt; 1,1 liegt, spaetestens jedoch zum 31.12.2023.</w:t>
      </w:r>
    </w:p>
    <w:p>
      <w:r>
        <w:rPr>
          <w:b/>
        </w:rPr>
        <w:t xml:space="preserve">(2) </w:t>
      </w:r>
      <w:r>
        <w:t>Eine vorzeitige Beendigung bedarf der Schriftform und der Zustimmung beider CPOs.</w:t>
      </w:r>
    </w:p>
    <w:p>
      <w:pPr>
        <w:pStyle w:val="Heading3"/>
      </w:pPr>
      <w:r>
        <w:t>Unterschriften</w:t>
      </w:r>
    </w:p>
    <w:p>
      <w:r>
        <w:t>Ort, Datum: Stuttgart, den Stuttgart / Muenchen, 21. September 2021</w:t>
      </w:r>
    </w:p>
    <w:p>
      <w:r>
        <w:t>_________________________            _________________________</w:t>
        <w:br/>
        <w:t>Dr. Robert Walther                          Herr Dr. Markus Boettcher</w:t>
        <w:br/>
        <w:t>Vorstand / CPO Operations                          Key Account Manager Automotive</w:t>
        <w:br/>
        <w:t>Brennhagen Elektronik AG                       Infineon Technologies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