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Infineon Technologies AG - Q1 2023</w:t>
      </w:r>
    </w:p>
    <w:p>
      <w:pPr>
        <w:jc w:val="center"/>
      </w:pPr>
      <w:r>
        <w:t>Audit-Nr. VDA63-2023-INF-Q1 -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Infineon Technologies AG</w:t>
        <w:br/>
        <w:t>Am Campeon 1-15, 85579 Neubiberg</w:t>
        <w:br/>
        <w:t>Lieferanten-Nr. Brennhagen: REA-L-INF</w:t>
        <w:br/>
        <w:t>Kategorie / Warengruppe: Mikrocontroller / Power-Halbleiter / AURIX TC3xx / TLE-Treiber</w:t>
        <w:br/>
        <w:t>Ansprechpartner Lieferant: Herr Dr. Markus Boettcher (Key Account Manager Automotive Tier-1)</w:t>
        <w:br/>
        <w:t>Qualitaetsverantwortlich Lieferant: Frau Dr. Stefanie Lenz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VDA63-2023-INF-Q1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Infineon Technologies AG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Am Campeon 1-15, 85579 Neubiberg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7.-9. Februar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86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Am Campeon 1-15, 85579 Neubiberg (Fertigung Wafer/Backend) sowie Hub Logistikzentrum Deutschland.</w:t>
      </w:r>
    </w:p>
    <w:p>
      <w:pPr>
        <w:pStyle w:val="ListBullet"/>
      </w:pPr>
      <w:r>
        <w:t>Kritikalitaetsstufe in der Brennhagen-Lieferantenbewertung: A (single-source AURIX TC397 fuer ECU-900 und ADAS-V4D).</w:t>
      </w:r>
    </w:p>
    <w:p>
      <w:pPr>
        <w:pStyle w:val="ListBullet"/>
      </w:pPr>
      <w:r>
        <w:t>Warengruppen-Volumen p.a. (Konzernebene 2023, Ist): rd. 78 Mio. EUR (33 %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Stefanie Lenz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Stefanie Lenz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Markus Boettcher (Key Account Manager Automotive Tier-1), Frau Dr. Stefanie Lenz</w:t>
      </w:r>
    </w:p>
    <w:p>
      <w:pPr>
        <w:pStyle w:val="Heading3"/>
      </w:pPr>
      <w:r>
        <w:t>Unterschriften</w:t>
      </w:r>
    </w:p>
    <w:p>
      <w:r>
        <w:t>Ort, Datum: Stuttgart, den Stuttgart / Audit-Ort, 9. Februar 2023</w:t>
      </w:r>
    </w:p>
    <w:p>
      <w:r>
        <w:t>_________________________            _________________________</w:t>
        <w:br/>
        <w:t>Andreas Kaufmann                          Frau Dr. Stefanie Lenz</w:t>
        <w:br/>
        <w:t>Head of Supplier Quality / Lead-Auditor                          Qualitaetsleitung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