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Konzern-Governance-Bericht Q1 2022</w:t>
      </w:r>
    </w:p>
    <w:p>
      <w:pPr>
        <w:jc w:val="center"/>
      </w:pPr>
      <w:r>
        <w:t>Quartals-Compliance- und Governance-Berichterstattung an Vorstand und Pruefungsausschuss</w:t>
      </w:r>
    </w:p>
    <w:p/>
    <w:p>
      <w:pPr>
        <w:pStyle w:val="Heading3"/>
      </w:pPr>
      <w:r>
        <w:t>Berichtskopf</w:t>
      </w:r>
    </w:p>
    <w:p>
      <w:r>
        <w:t>Berichtsperiode: 1. Januar 2022 - 31. Maerz 2022</w:t>
        <w:br/>
        <w:t>Berichtsersteller: Andreas Buehler (Chief Audit Executive / Internal Audit)</w:t>
        <w:br/>
        <w:t>Adressat: Vorstand der Brennhagen Elektronik AG; in Kopie Pruefungsausschuss-Vorsitz Prof. Dr.-Ing. Gerhard Voss</w:t>
        <w:br/>
        <w:t>Berichtsdatum: 22. April 2022</w:t>
        <w:br/>
        <w:t>Klassifizierung: Vertraulich - Aufsichtsrat / Pruefungsausschuss</w:t>
      </w:r>
    </w:p>
    <w:p>
      <w:pPr>
        <w:pStyle w:val="Heading3"/>
      </w:pPr>
      <w:r>
        <w:t>Compliance-Status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Bereich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Code of Conduct (Awareness)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98 % Trainingsquote (Praesenz + E-Learning)</w:t>
            </w:r>
          </w:p>
        </w:tc>
      </w:tr>
      <w:tr>
        <w:tc>
          <w:tcPr>
            <w:tcW w:type="dxa" w:w="2880"/>
          </w:tcPr>
          <w:p>
            <w:r>
              <w:t>Hinweisgebersystem (BKMS)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11 Meldungen Q1, 9 abschliessend bearbeitet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Verdachtsfaelle</w:t>
            </w:r>
          </w:p>
        </w:tc>
      </w:tr>
      <w:tr>
        <w:tc>
          <w:tcPr>
            <w:tcW w:type="dxa" w:w="2880"/>
          </w:tcPr>
          <w:p>
            <w:r>
              <w:t>Sanktionsrecht (RU/BY/IR)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Erhoehte Pruefintensitaet nach EU-Sanktionspaket 2/3/4</w:t>
            </w:r>
          </w:p>
        </w:tc>
      </w:tr>
      <w:tr>
        <w:tc>
          <w:tcPr>
            <w:tcW w:type="dxa" w:w="2880"/>
          </w:tcPr>
          <w:p>
            <w:r>
              <w:t>Datenschutz (DSGVO)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2 meldepflichtige Vorfaelle, beide &lt; 72 h gemeldet</w:t>
            </w:r>
          </w:p>
        </w:tc>
      </w:tr>
      <w:tr>
        <w:tc>
          <w:tcPr>
            <w:tcW w:type="dxa" w:w="2880"/>
          </w:tcPr>
          <w:p>
            <w:r>
              <w:t>Insiderrecht (MAR)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Insiderliste gepflegt, Closed Period 21.3.-31.3. eingehalten</w:t>
            </w:r>
          </w:p>
        </w:tc>
      </w:tr>
      <w:tr>
        <w:tc>
          <w:tcPr>
            <w:tcW w:type="dxa" w:w="2880"/>
          </w:tcPr>
          <w:p>
            <w:r>
              <w:t>LkSG-Vorbereitung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Implementierung lt. Plan; SAQ-Rollout im April</w:t>
            </w:r>
          </w:p>
        </w:tc>
      </w:tr>
    </w:tbl>
    <w:p>
      <w:pPr>
        <w:pStyle w:val="Heading3"/>
      </w:pPr>
      <w:r>
        <w:t>Internal-Audit-Aktivitaeten</w:t>
      </w:r>
    </w:p>
    <w:p>
      <w:pPr>
        <w:pStyle w:val="ListBullet"/>
      </w:pPr>
      <w:r>
        <w:t>Audit »Beschaffung indirekte Materialien« REG/RSG abgeschlossen - 3 Empfehlungen (low), Umsetzungsplan vereinbart.</w:t>
      </w:r>
    </w:p>
    <w:p>
      <w:pPr>
        <w:pStyle w:val="ListBullet"/>
      </w:pPr>
      <w:r>
        <w:t>Audit »Treasury Front-/Mid-/Back-Office-Funktionstrennung« laufend (Abschluss Q2).</w:t>
      </w:r>
    </w:p>
    <w:p>
      <w:pPr>
        <w:pStyle w:val="ListBullet"/>
      </w:pPr>
      <w:r>
        <w:t>Sonder-Review »IPO-Internal-Controls« (Q4 2022 IPO-Vorbereitung) - Scoping abgeschlossen, Beginn Feldarbeit 1.5.2022.</w:t>
      </w:r>
    </w:p>
    <w:p>
      <w:pPr>
        <w:pStyle w:val="ListBullet"/>
      </w:pPr>
      <w:r>
        <w:t>ITGC-Pruefung SAP S/4HANA Berechtigungen - 4 Findings (medium), Remediation H2 2022.</w:t>
      </w:r>
    </w:p>
    <w:p>
      <w:pPr>
        <w:pStyle w:val="Heading3"/>
      </w:pPr>
      <w:r>
        <w:t>Wesentliche Risiken (Top-5 Konzern)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Brutto-Score</w:t>
            </w:r>
          </w:p>
        </w:tc>
        <w:tc>
          <w:tcPr>
            <w:tcW w:type="dxa" w:w="2880"/>
          </w:tcPr>
          <w:p>
            <w:r>
              <w:t>Netto-Score nach Massnahmen</w:t>
            </w:r>
          </w:p>
        </w:tc>
      </w:tr>
      <w:tr>
        <w:tc>
          <w:tcPr>
            <w:tcW w:type="dxa" w:w="2880"/>
          </w:tcPr>
          <w:p>
            <w:r>
              <w:t>Halbleiter-Versorgungsengpaesse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  <w:tc>
          <w:tcPr>
            <w:tcW w:type="dxa" w:w="2880"/>
          </w:tcPr>
          <w:p>
            <w:r>
              <w:t>Mittel (Allokationsvereinbarungen, LTAs)</w:t>
            </w:r>
          </w:p>
        </w:tc>
      </w:tr>
      <w:tr>
        <w:tc>
          <w:tcPr>
            <w:tcW w:type="dxa" w:w="2880"/>
          </w:tcPr>
          <w:p>
            <w:r>
              <w:t>Energiepreisvolatilitaet 2022 (Ukraine-Krise)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  <w:tc>
          <w:tcPr>
            <w:tcW w:type="dxa" w:w="2880"/>
          </w:tcPr>
          <w:p>
            <w:r>
              <w:t>Mittel (Hedging, PPA-Pipeline)</w:t>
            </w:r>
          </w:p>
        </w:tc>
      </w:tr>
      <w:tr>
        <w:tc>
          <w:tcPr>
            <w:tcW w:type="dxa" w:w="2880"/>
          </w:tcPr>
          <w:p>
            <w:r>
              <w:t>FX-Volatilitaet USD/EUR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Niedrig (Rolling-Hedge Programm)</w:t>
            </w:r>
          </w:p>
        </w:tc>
      </w:tr>
      <w:tr>
        <w:tc>
          <w:tcPr>
            <w:tcW w:type="dxa" w:w="2880"/>
          </w:tcPr>
          <w:p>
            <w:r>
              <w:t>Cyber-Sicherheit OT-Netzwerk REG</w:t>
            </w:r>
          </w:p>
        </w:tc>
        <w:tc>
          <w:tcPr>
            <w:tcW w:type="dxa" w:w="2880"/>
          </w:tcPr>
          <w:p>
            <w:r>
              <w:t>Mittel-Hoch</w:t>
            </w:r>
          </w:p>
        </w:tc>
        <w:tc>
          <w:tcPr>
            <w:tcW w:type="dxa" w:w="2880"/>
          </w:tcPr>
          <w:p>
            <w:r>
              <w:t>Mittel (Segmentierung, Zero-Trust-Pilot)</w:t>
            </w:r>
          </w:p>
        </w:tc>
      </w:tr>
      <w:tr>
        <w:tc>
          <w:tcPr>
            <w:tcW w:type="dxa" w:w="2880"/>
          </w:tcPr>
          <w:p>
            <w:r>
              <w:t>IPO-Readiness Internal Controls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Niedrig nach Audit-Empfehlungen</w:t>
            </w:r>
          </w:p>
        </w:tc>
      </w:tr>
    </w:tbl>
    <w:p>
      <w:pPr>
        <w:pStyle w:val="Heading3"/>
      </w:pPr>
      <w:r>
        <w:t>Vorgaenge mit Aufsichtsratsrelevanz</w:t>
      </w:r>
    </w:p>
    <w:p>
      <w:pPr>
        <w:pStyle w:val="ListBullet"/>
      </w:pPr>
      <w:r>
        <w:t>Geplante Bestellung einer ESG-/Nachhaltigkeitsbeauftragten (Vorlage Vorstand 15.5.2022).</w:t>
      </w:r>
    </w:p>
    <w:p>
      <w:pPr>
        <w:pStyle w:val="ListBullet"/>
      </w:pPr>
      <w:r>
        <w:t>Vorbereitung Konsortialkreditvertrag 250 Mio. EUR (Closing 14.3.2022 - bereits erfolgt).</w:t>
      </w:r>
    </w:p>
    <w:p>
      <w:pPr>
        <w:pStyle w:val="ListBullet"/>
      </w:pPr>
      <w:r>
        <w:t>Update zum Stand IPO-Vorbereitung (Roadshow Q3, Listing Q4).</w:t>
      </w:r>
    </w:p>
    <w:p>
      <w:pPr>
        <w:pStyle w:val="ListBullet"/>
      </w:pPr>
      <w:r>
        <w:t>Pruefungsausschuss-Sitzung 12.5.2022: TOPs Q1-Reporting, IFRS-Pilotbilanz.</w:t>
      </w:r>
    </w:p>
    <w:p>
      <w:pPr>
        <w:pStyle w:val="Heading3"/>
      </w:pPr>
      <w:r>
        <w:t>Fazit / Ausblick</w:t>
      </w:r>
    </w:p>
    <w:p>
      <w:r>
        <w:t>Die Governance-Lage zum Stichtag 31.3.2022 ist insgesamt geordnet. Im Zuge der Ukraine-Krise wurden Sanktions- und Versorgungs-Risiken hochgestuft und mit zusaetzlichen Kontrollen versehen. Schwerpunkte des Q2 sind die LkSG-Implementierung sowie der vollstaendige Aufbau IPO-faehiger internal controls.</w:t>
      </w:r>
    </w:p>
    <w:p>
      <w:pPr>
        <w:pStyle w:val="Heading3"/>
      </w:pPr>
      <w:r>
        <w:t>Unterschrift</w:t>
      </w:r>
    </w:p>
    <w:p>
      <w:r>
        <w:t>Ort, Datum: Stuttgart, den Stuttgart, 22. April 2022</w:t>
      </w:r>
    </w:p>
    <w:p>
      <w:r>
        <w:t>_________________________            _________________________</w:t>
        <w:br/>
        <w:t>Andreas Buehler                          Dr. Heike Berger</w:t>
        <w:br/>
        <w:t>Chief Audit Executive (CAE)                          Group Tax Director / Compliance-Koordination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