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Zusammengefasster Konzernlagebericht 2022 - Brennhagen Elektronik AG</w:t>
      </w:r>
    </w:p>
    <w:p>
      <w:pPr>
        <w:jc w:val="center"/>
      </w:pPr>
      <w:r>
        <w:t>Berichterstattung gemaess §§ 315, 315a HGB i.V.m. DRS 20 - Geschaeftsjahr 2022</w:t>
      </w:r>
    </w:p>
    <w:p/>
    <w:p>
      <w:pPr>
        <w:pStyle w:val="Heading3"/>
      </w:pPr>
      <w:r>
        <w:t>Berichtsumfang</w:t>
      </w:r>
    </w:p>
    <w:p>
      <w:r>
        <w:t>Der zusammengefasste Konzernlagebericht der Brennhagen Elektronik AG fasst den Konzernlagebericht und den Lagebericht der Muttergesellschaft fuer das Geschaeftsjahr vom 1. Januar 2022 bis 31. Dezember 2022 zusammen. Er wurde vom Vorstand am 15. Maerz 2023 aufgestellt und vom Aufsichtsrat in der Bilanzsitzung am 30. Maerz 2023 geprueft und gebilligt. Der Abschlusspruefer (KPMG AG WPG, Lead-Partner Dr. Maximilian Brand) hat einen uneingeschraenkten Bestaetigungsvermerk erteilt.</w:t>
      </w:r>
    </w:p>
    <w:p>
      <w:pPr>
        <w:pStyle w:val="Heading3"/>
      </w:pPr>
      <w:r>
        <w:t>1. Wirtschaftsbericht</w:t>
      </w:r>
    </w:p>
    <w:p>
      <w:r>
        <w:t>Die Brennhagen Elektronik AG konnte im Geschaeftsjahr 2022 ihren Umsatz auf 600 Mio. EUR (Vorjahr 580 Mio. EUR) steigern. Das EBITDA stieg auf 73 Mio. EUR (Vorjahr 70 Mio. EUR), die EBITDA-Marge lag bei 12,2 % (Vj. 12,1 %). Wesentliche Treiber: Hochlauf BMS-12 fuer VW ID.7 (SOP planmaessig fuer Q1 2024 vorbereitet), Erholung der OEM-Volumina nach Halbleiterkrise (insbes. ECU-900) sowie Erloesbeitraege aus der Markteinfuehrung des neuen Werks RPL Katowice. Belastend wirkten die hohen Energie- und Inputfaktorkosten (Halbleiter, Logistik). Der IPO am 14. Oktober 2022 brachte einen Bruttoemissionserloes von 612 Mio. EUR (Emissionskurs 24,50 EUR) und staerkt das Eigenkapital nachhaltig.</w:t>
      </w:r>
    </w:p>
    <w:p>
      <w:pPr>
        <w:pStyle w:val="Heading3"/>
      </w:pPr>
      <w:r>
        <w:t>2. Finanz- und Vermoegenslage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Kennzahl (Mio. EUR)</w:t>
            </w:r>
          </w:p>
        </w:tc>
        <w:tc>
          <w:tcPr>
            <w:tcW w:type="dxa" w:w="2160"/>
          </w:tcPr>
          <w:p>
            <w:r>
              <w:t>2020</w:t>
            </w:r>
          </w:p>
        </w:tc>
        <w:tc>
          <w:tcPr>
            <w:tcW w:type="dxa" w:w="2160"/>
          </w:tcPr>
          <w:p>
            <w:r>
              <w:t>2021</w:t>
            </w:r>
          </w:p>
        </w:tc>
        <w:tc>
          <w:tcPr>
            <w:tcW w:type="dxa" w:w="2160"/>
          </w:tcPr>
          <w:p>
            <w:r>
              <w:t>2022</w:t>
            </w:r>
          </w:p>
        </w:tc>
      </w:tr>
      <w:tr>
        <w:tc>
          <w:tcPr>
            <w:tcW w:type="dxa" w:w="2160"/>
          </w:tcPr>
          <w:p>
            <w:r>
              <w:t>Umsatz</w:t>
            </w:r>
          </w:p>
        </w:tc>
        <w:tc>
          <w:tcPr>
            <w:tcW w:type="dxa" w:w="2160"/>
          </w:tcPr>
          <w:p>
            <w:r>
              <w:t>542</w:t>
            </w:r>
          </w:p>
        </w:tc>
        <w:tc>
          <w:tcPr>
            <w:tcW w:type="dxa" w:w="2160"/>
          </w:tcPr>
          <w:p>
            <w:r>
              <w:t>580</w:t>
            </w:r>
          </w:p>
        </w:tc>
        <w:tc>
          <w:tcPr>
            <w:tcW w:type="dxa" w:w="2160"/>
          </w:tcPr>
          <w:p>
            <w:r>
              <w:t>600</w:t>
            </w:r>
          </w:p>
        </w:tc>
      </w:tr>
      <w:tr>
        <w:tc>
          <w:tcPr>
            <w:tcW w:type="dxa" w:w="2160"/>
          </w:tcPr>
          <w:p>
            <w:r>
              <w:t>EBITDA</w:t>
            </w:r>
          </w:p>
        </w:tc>
        <w:tc>
          <w:tcPr>
            <w:tcW w:type="dxa" w:w="2160"/>
          </w:tcPr>
          <w:p>
            <w:r>
              <w:t>64</w:t>
            </w:r>
          </w:p>
        </w:tc>
        <w:tc>
          <w:tcPr>
            <w:tcW w:type="dxa" w:w="2160"/>
          </w:tcPr>
          <w:p>
            <w:r>
              <w:t>70</w:t>
            </w:r>
          </w:p>
        </w:tc>
        <w:tc>
          <w:tcPr>
            <w:tcW w:type="dxa" w:w="2160"/>
          </w:tcPr>
          <w:p>
            <w:r>
              <w:t>73</w:t>
            </w:r>
          </w:p>
        </w:tc>
      </w:tr>
      <w:tr>
        <w:tc>
          <w:tcPr>
            <w:tcW w:type="dxa" w:w="2160"/>
          </w:tcPr>
          <w:p>
            <w:r>
              <w:t>EBIT</w:t>
            </w:r>
          </w:p>
        </w:tc>
        <w:tc>
          <w:tcPr>
            <w:tcW w:type="dxa" w:w="2160"/>
          </w:tcPr>
          <w:p>
            <w:r>
              <w:t>38</w:t>
            </w:r>
          </w:p>
        </w:tc>
        <w:tc>
          <w:tcPr>
            <w:tcW w:type="dxa" w:w="2160"/>
          </w:tcPr>
          <w:p>
            <w:r>
              <w:t>42</w:t>
            </w:r>
          </w:p>
        </w:tc>
        <w:tc>
          <w:tcPr>
            <w:tcW w:type="dxa" w:w="2160"/>
          </w:tcPr>
          <w:p>
            <w:r>
              <w:t>47</w:t>
            </w:r>
          </w:p>
        </w:tc>
      </w:tr>
      <w:tr>
        <w:tc>
          <w:tcPr>
            <w:tcW w:type="dxa" w:w="2160"/>
          </w:tcPr>
          <w:p>
            <w:r>
              <w:t>Periodenergebnis</w:t>
            </w:r>
          </w:p>
        </w:tc>
        <w:tc>
          <w:tcPr>
            <w:tcW w:type="dxa" w:w="2160"/>
          </w:tcPr>
          <w:p>
            <w:r>
              <w:t>21</w:t>
            </w:r>
          </w:p>
        </w:tc>
        <w:tc>
          <w:tcPr>
            <w:tcW w:type="dxa" w:w="2160"/>
          </w:tcPr>
          <w:p>
            <w:r>
              <w:t>25</w:t>
            </w:r>
          </w:p>
        </w:tc>
        <w:tc>
          <w:tcPr>
            <w:tcW w:type="dxa" w:w="2160"/>
          </w:tcPr>
          <w:p>
            <w:r>
              <w:t>29</w:t>
            </w:r>
          </w:p>
        </w:tc>
      </w:tr>
      <w:tr>
        <w:tc>
          <w:tcPr>
            <w:tcW w:type="dxa" w:w="2160"/>
          </w:tcPr>
          <w:p>
            <w:r>
              <w:t>Eigenkapital (zum Stichtag)</w:t>
            </w:r>
          </w:p>
        </w:tc>
        <w:tc>
          <w:tcPr>
            <w:tcW w:type="dxa" w:w="2160"/>
          </w:tcPr>
          <w:p>
            <w:r>
              <w:t>190</w:t>
            </w:r>
          </w:p>
        </w:tc>
        <w:tc>
          <w:tcPr>
            <w:tcW w:type="dxa" w:w="2160"/>
          </w:tcPr>
          <w:p>
            <w:r>
              <w:t>215</w:t>
            </w:r>
          </w:p>
        </w:tc>
        <w:tc>
          <w:tcPr>
            <w:tcW w:type="dxa" w:w="2160"/>
          </w:tcPr>
          <w:p>
            <w:r>
              <w:t>820</w:t>
            </w:r>
          </w:p>
        </w:tc>
      </w:tr>
      <w:tr>
        <w:tc>
          <w:tcPr>
            <w:tcW w:type="dxa" w:w="2160"/>
          </w:tcPr>
          <w:p>
            <w:r>
              <w:t>EK-Quote</w:t>
            </w:r>
          </w:p>
        </w:tc>
        <w:tc>
          <w:tcPr>
            <w:tcW w:type="dxa" w:w="2160"/>
          </w:tcPr>
          <w:p>
            <w:r>
              <w:t>32 %</w:t>
            </w:r>
          </w:p>
        </w:tc>
        <w:tc>
          <w:tcPr>
            <w:tcW w:type="dxa" w:w="2160"/>
          </w:tcPr>
          <w:p>
            <w:r>
              <w:t>34 %</w:t>
            </w:r>
          </w:p>
        </w:tc>
        <w:tc>
          <w:tcPr>
            <w:tcW w:type="dxa" w:w="2160"/>
          </w:tcPr>
          <w:p>
            <w:r>
              <w:t>61 %</w:t>
            </w:r>
          </w:p>
        </w:tc>
      </w:tr>
      <w:tr>
        <w:tc>
          <w:tcPr>
            <w:tcW w:type="dxa" w:w="2160"/>
          </w:tcPr>
          <w:p>
            <w:r>
              <w:t>Net Debt / EBITDA</w:t>
            </w:r>
          </w:p>
        </w:tc>
        <w:tc>
          <w:tcPr>
            <w:tcW w:type="dxa" w:w="2160"/>
          </w:tcPr>
          <w:p>
            <w:r>
              <w:t>1,8x</w:t>
            </w:r>
          </w:p>
        </w:tc>
        <w:tc>
          <w:tcPr>
            <w:tcW w:type="dxa" w:w="2160"/>
          </w:tcPr>
          <w:p>
            <w:r>
              <w:t>1,7x</w:t>
            </w:r>
          </w:p>
        </w:tc>
        <w:tc>
          <w:tcPr>
            <w:tcW w:type="dxa" w:w="2160"/>
          </w:tcPr>
          <w:p>
            <w:r>
              <w:t>0,4x</w:t>
            </w:r>
          </w:p>
        </w:tc>
      </w:tr>
      <w:tr>
        <w:tc>
          <w:tcPr>
            <w:tcW w:type="dxa" w:w="2160"/>
          </w:tcPr>
          <w:p>
            <w:r>
              <w:t>FTE (Konzern, Stichtag)</w:t>
            </w:r>
          </w:p>
        </w:tc>
        <w:tc>
          <w:tcPr>
            <w:tcW w:type="dxa" w:w="2160"/>
          </w:tcPr>
          <w:p>
            <w:r>
              <w:t>3.620</w:t>
            </w:r>
          </w:p>
        </w:tc>
        <w:tc>
          <w:tcPr>
            <w:tcW w:type="dxa" w:w="2160"/>
          </w:tcPr>
          <w:p>
            <w:r>
              <w:t>3.820</w:t>
            </w:r>
          </w:p>
        </w:tc>
        <w:tc>
          <w:tcPr>
            <w:tcW w:type="dxa" w:w="2160"/>
          </w:tcPr>
          <w:p>
            <w:r>
              <w:t>4.020</w:t>
            </w:r>
          </w:p>
        </w:tc>
      </w:tr>
    </w:tbl>
    <w:p>
      <w:pPr>
        <w:pStyle w:val="Heading3"/>
      </w:pPr>
      <w:r>
        <w:t>3. Nichtfinanzielle Erklaerung</w:t>
      </w:r>
    </w:p>
    <w:p>
      <w:pPr>
        <w:pStyle w:val="ListBullet"/>
      </w:pPr>
      <w:r>
        <w:t>Erstmalige freiwillige Berichterstattung gemaess GRI-Standards (Core) - Bruecke zu CSRD ab 2024.</w:t>
      </w:r>
    </w:p>
    <w:p>
      <w:pPr>
        <w:pStyle w:val="ListBullet"/>
      </w:pPr>
      <w:r>
        <w:t>Scope-1+2-Emissionen: 0,232 Mio. t CO2e (Konzern). Roadmap Carbon Neutrality 2030 beschlossen.</w:t>
      </w:r>
    </w:p>
    <w:p>
      <w:pPr>
        <w:pStyle w:val="ListBullet"/>
      </w:pPr>
      <w:r>
        <w:t>Frauenanteil Gesamtbelegschaft: 28 %; in Fuehrungspositionen 22 %.</w:t>
      </w:r>
    </w:p>
    <w:p>
      <w:pPr>
        <w:pStyle w:val="ListBullet"/>
      </w:pPr>
      <w:r>
        <w:t>Unfallrate (LTIF): 3,4 (Vorjahr 4,1) - Verbesserung durch Werkssicherheitsoffensive.</w:t>
      </w:r>
    </w:p>
    <w:p>
      <w:pPr>
        <w:pStyle w:val="ListBullet"/>
      </w:pPr>
      <w:r>
        <w:t>LkSG-Vorbereitung abgeschlossen, Inkrafttreten 1.1.2023.</w:t>
      </w:r>
    </w:p>
    <w:p>
      <w:pPr>
        <w:pStyle w:val="Heading3"/>
      </w:pPr>
      <w:r>
        <w:t>4. Prognosebericht</w:t>
      </w:r>
    </w:p>
    <w:p>
      <w:r>
        <w:t>Fuer das Geschaeftsjahr 2023 erwartet der Vorstand einen Konzernumsatz im Korridor 605-625 Mio. EUR sowie ein EBITDA zwischen 73 und 78 Mio. EUR. Wesentliche Annahmen: weitere Erholung Halbleiterbeschaffung, planmaessige SOP BMS-12 fuer VW ID.7 Q1 2024, Stabilisierung der Energiepreise auf erhoehtem Niveau. Risiken: geopolitische Eskalation, OEM-Volumenrueckgaenge BEV-Plattformen, Inflations- und Lohnentwicklung.</w:t>
      </w:r>
    </w:p>
    <w:p>
      <w:pPr>
        <w:pStyle w:val="Heading3"/>
      </w:pPr>
      <w:r>
        <w:t>5. Chancen- und Risikobericht</w:t>
      </w:r>
    </w:p>
    <w:p>
      <w:r>
        <w:t>Wesentliche Risiken werden im konzernweiten ERM-System (Risk Owner pro Risiko, quartalsweises Reporting an Vorstand und Pruefungsausschuss) gesteuert. Top-Risiken 2022: Halbleiterversorgung (mittel, mit weiteren Long-Term Agreements adressiert), Energiepreis (mittel, Hedging und PPA-Programm), Cyber-Sicherheit OT-Netzwerk REG (mittel, Massnahmen mit Roll-out 2023-2024). Wesentliche Chancen: BEV-Hochlauf, ADAS-Level-3-Programme bei MBZ, Skalierung Software-Anteil (RSG, ASPICE L3).</w:t>
      </w:r>
    </w:p>
    <w:p>
      <w:pPr>
        <w:pStyle w:val="Heading3"/>
      </w:pPr>
      <w:r>
        <w:t>6. Vergueterungsbericht / Erklaerung Unternehmensfuehrung</w:t>
      </w:r>
    </w:p>
    <w:p>
      <w:r>
        <w:t>Vergueterung Vorstand und Aufsichtsrat erfolgt gemaess Vergueterungssystem 2022 (zustimmender HV-Beschluss 14.6.2022). Erklaerung zur Unternehmensfuehrung sowie Entsprechenserklaerung DCGK in der Fassung 2022 separat veroeffentlicht.</w:t>
      </w:r>
    </w:p>
    <w:p>
      <w:pPr>
        <w:pStyle w:val="Heading3"/>
      </w:pPr>
      <w:r>
        <w:t>Unterschrift Vorstand</w:t>
      </w:r>
    </w:p>
    <w:p>
      <w:r>
        <w:t>Ort, Datum: Stuttgart, den Stuttgart, 15. Maerz 2023</w:t>
      </w:r>
    </w:p>
    <w:p>
      <w:r>
        <w:t>_________________________            _________________________</w:t>
        <w:br/>
        <w:t>Anna Mueller                          Laura Bauer</w:t>
        <w:br/>
        <w:t>CEO / Vorsitzende des Vorstands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