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Vorstandsmemo - Carbon Neutrality 2030</w:t>
      </w:r>
    </w:p>
    <w:p>
      <w:pPr>
        <w:jc w:val="center"/>
      </w:pPr>
      <w:r>
        <w:t>Konzern-Roadmap zur Klimaneutralitaet bis 2030 - Beschlussvorlage Vorstand</w:t>
      </w:r>
    </w:p>
    <w:p/>
    <w:p>
      <w:pPr>
        <w:pStyle w:val="Heading3"/>
      </w:pPr>
      <w:r>
        <w:t>Adressat / Verfasser</w:t>
      </w:r>
    </w:p>
    <w:p>
      <w:r>
        <w:t>Adressat: Vorstand der Brennhagen Elektronik AG (Anna Mueller, Laura Bauer, Dr. Thomas Weber, Stefan Hoffmann), zur Kenntnis: Aufsichtsratspraesidium Dr. Klaus Steinbrueck (Vorsitz).</w:t>
        <w:br/>
        <w:t>Verfasser: Dr. Robert Walther (CPO Operations, Sponsor Roadmap) in Abstimmung mit Florian Maier (Group Controller) und Christine Berger (Risk).</w:t>
        <w:br/>
        <w:t>Datum: 7. Februar 2023</w:t>
        <w:br/>
        <w:t>Status: Beschlussvorlage Vorstand (Sitzung 15.2.2023, TOP 5)</w:t>
      </w:r>
    </w:p>
    <w:p>
      <w:pPr>
        <w:pStyle w:val="Heading3"/>
      </w:pPr>
      <w:r>
        <w:t>Zielsetzung</w:t>
      </w:r>
    </w:p>
    <w:p>
      <w:r>
        <w:t>Die Brennhagen Elektronik AG beabsichtigt, bis spaetestens 31.12.2030 in den Scopes 1 und 2 vollstaendige Klimaneutralitaet (Net-Zero) zu erreichen. Scope 3 (Lieferkette) wird mit dem Zielhorizont 2040 nachgelagert. Die Roadmap stuetzt sich auf die Vorgaben der SBTi (Science Based Targets initiative, 1,5-Grad-Pfad) und ist Bestandteil der CSRD-Berichterstattung ab Geschaeftsjahr 2024.</w:t>
      </w:r>
    </w:p>
    <w:p>
      <w:pPr>
        <w:pStyle w:val="Heading3"/>
      </w:pPr>
      <w:r>
        <w:t>Ausgangslage 2022 (Bilanz Scope 1+2, Mio. t CO2e)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Standort</w:t>
            </w:r>
          </w:p>
        </w:tc>
        <w:tc>
          <w:tcPr>
            <w:tcW w:type="dxa" w:w="2160"/>
          </w:tcPr>
          <w:p>
            <w:r>
              <w:t>Scope 1 (direkt)</w:t>
            </w:r>
          </w:p>
        </w:tc>
        <w:tc>
          <w:tcPr>
            <w:tcW w:type="dxa" w:w="2160"/>
          </w:tcPr>
          <w:p>
            <w:r>
              <w:t>Scope 2 (Strom/Waerme)</w:t>
            </w:r>
          </w:p>
        </w:tc>
        <w:tc>
          <w:tcPr>
            <w:tcW w:type="dxa" w:w="2160"/>
          </w:tcPr>
          <w:p>
            <w:r>
              <w:t>Summe Scope 1+2</w:t>
            </w:r>
          </w:p>
        </w:tc>
      </w:tr>
      <w:tr>
        <w:tc>
          <w:tcPr>
            <w:tcW w:type="dxa" w:w="2160"/>
          </w:tcPr>
          <w:p>
            <w:r>
              <w:t>REG Heilbronn</w:t>
            </w:r>
          </w:p>
        </w:tc>
        <w:tc>
          <w:tcPr>
            <w:tcW w:type="dxa" w:w="2160"/>
          </w:tcPr>
          <w:p>
            <w:r>
              <w:t>0,012</w:t>
            </w:r>
          </w:p>
        </w:tc>
        <w:tc>
          <w:tcPr>
            <w:tcW w:type="dxa" w:w="2160"/>
          </w:tcPr>
          <w:p>
            <w:r>
              <w:t>0,041</w:t>
            </w:r>
          </w:p>
        </w:tc>
        <w:tc>
          <w:tcPr>
            <w:tcW w:type="dxa" w:w="2160"/>
          </w:tcPr>
          <w:p>
            <w:r>
              <w:t>0,053</w:t>
            </w:r>
          </w:p>
        </w:tc>
      </w:tr>
      <w:tr>
        <w:tc>
          <w:tcPr>
            <w:tcW w:type="dxa" w:w="2160"/>
          </w:tcPr>
          <w:p>
            <w:r>
              <w:t>RSG Muenchen (Buero)</w:t>
            </w:r>
          </w:p>
        </w:tc>
        <w:tc>
          <w:tcPr>
            <w:tcW w:type="dxa" w:w="2160"/>
          </w:tcPr>
          <w:p>
            <w:r>
              <w:t>0,001</w:t>
            </w:r>
          </w:p>
        </w:tc>
        <w:tc>
          <w:tcPr>
            <w:tcW w:type="dxa" w:w="2160"/>
          </w:tcPr>
          <w:p>
            <w:r>
              <w:t>0,008</w:t>
            </w:r>
          </w:p>
        </w:tc>
        <w:tc>
          <w:tcPr>
            <w:tcW w:type="dxa" w:w="2160"/>
          </w:tcPr>
          <w:p>
            <w:r>
              <w:t>0,009</w:t>
            </w:r>
          </w:p>
        </w:tc>
      </w:tr>
      <w:tr>
        <w:tc>
          <w:tcPr>
            <w:tcW w:type="dxa" w:w="2160"/>
          </w:tcPr>
          <w:p>
            <w:r>
              <w:t>RPL Katowice</w:t>
            </w:r>
          </w:p>
        </w:tc>
        <w:tc>
          <w:tcPr>
            <w:tcW w:type="dxa" w:w="2160"/>
          </w:tcPr>
          <w:p>
            <w:r>
              <w:t>0,018</w:t>
            </w:r>
          </w:p>
        </w:tc>
        <w:tc>
          <w:tcPr>
            <w:tcW w:type="dxa" w:w="2160"/>
          </w:tcPr>
          <w:p>
            <w:r>
              <w:t>0,062</w:t>
            </w:r>
          </w:p>
        </w:tc>
        <w:tc>
          <w:tcPr>
            <w:tcW w:type="dxa" w:w="2160"/>
          </w:tcPr>
          <w:p>
            <w:r>
              <w:t>0,080</w:t>
            </w:r>
          </w:p>
        </w:tc>
      </w:tr>
      <w:tr>
        <w:tc>
          <w:tcPr>
            <w:tcW w:type="dxa" w:w="2160"/>
          </w:tcPr>
          <w:p>
            <w:r>
              <w:t>RCZ Brno</w:t>
            </w:r>
          </w:p>
        </w:tc>
        <w:tc>
          <w:tcPr>
            <w:tcW w:type="dxa" w:w="2160"/>
          </w:tcPr>
          <w:p>
            <w:r>
              <w:t>0,009</w:t>
            </w:r>
          </w:p>
        </w:tc>
        <w:tc>
          <w:tcPr>
            <w:tcW w:type="dxa" w:w="2160"/>
          </w:tcPr>
          <w:p>
            <w:r>
              <w:t>0,033</w:t>
            </w:r>
          </w:p>
        </w:tc>
        <w:tc>
          <w:tcPr>
            <w:tcW w:type="dxa" w:w="2160"/>
          </w:tcPr>
          <w:p>
            <w:r>
              <w:t>0,042</w:t>
            </w:r>
          </w:p>
        </w:tc>
      </w:tr>
      <w:tr>
        <w:tc>
          <w:tcPr>
            <w:tcW w:type="dxa" w:w="2160"/>
          </w:tcPr>
          <w:p>
            <w:r>
              <w:t>RHU Gyoer</w:t>
            </w:r>
          </w:p>
        </w:tc>
        <w:tc>
          <w:tcPr>
            <w:tcW w:type="dxa" w:w="2160"/>
          </w:tcPr>
          <w:p>
            <w:r>
              <w:t>0,007</w:t>
            </w:r>
          </w:p>
        </w:tc>
        <w:tc>
          <w:tcPr>
            <w:tcW w:type="dxa" w:w="2160"/>
          </w:tcPr>
          <w:p>
            <w:r>
              <w:t>0,028</w:t>
            </w:r>
          </w:p>
        </w:tc>
        <w:tc>
          <w:tcPr>
            <w:tcW w:type="dxa" w:w="2160"/>
          </w:tcPr>
          <w:p>
            <w:r>
              <w:t>0,035</w:t>
            </w:r>
          </w:p>
        </w:tc>
      </w:tr>
      <w:tr>
        <w:tc>
          <w:tcPr>
            <w:tcW w:type="dxa" w:w="2160"/>
          </w:tcPr>
          <w:p>
            <w:r>
              <w:t>RCN Shanghai</w:t>
            </w:r>
          </w:p>
        </w:tc>
        <w:tc>
          <w:tcPr>
            <w:tcW w:type="dxa" w:w="2160"/>
          </w:tcPr>
          <w:p>
            <w:r>
              <w:t>0,002</w:t>
            </w:r>
          </w:p>
        </w:tc>
        <w:tc>
          <w:tcPr>
            <w:tcW w:type="dxa" w:w="2160"/>
          </w:tcPr>
          <w:p>
            <w:r>
              <w:t>0,011</w:t>
            </w:r>
          </w:p>
        </w:tc>
        <w:tc>
          <w:tcPr>
            <w:tcW w:type="dxa" w:w="2160"/>
          </w:tcPr>
          <w:p>
            <w:r>
              <w:t>0,013</w:t>
            </w:r>
          </w:p>
        </w:tc>
      </w:tr>
      <w:tr>
        <w:tc>
          <w:tcPr>
            <w:tcW w:type="dxa" w:w="2160"/>
          </w:tcPr>
          <w:p>
            <w:r>
              <w:t>Konzern gesamt</w:t>
            </w:r>
          </w:p>
        </w:tc>
        <w:tc>
          <w:tcPr>
            <w:tcW w:type="dxa" w:w="2160"/>
          </w:tcPr>
          <w:p>
            <w:r>
              <w:t>0,049</w:t>
            </w:r>
          </w:p>
        </w:tc>
        <w:tc>
          <w:tcPr>
            <w:tcW w:type="dxa" w:w="2160"/>
          </w:tcPr>
          <w:p>
            <w:r>
              <w:t>0,183</w:t>
            </w:r>
          </w:p>
        </w:tc>
        <w:tc>
          <w:tcPr>
            <w:tcW w:type="dxa" w:w="2160"/>
          </w:tcPr>
          <w:p>
            <w:r>
              <w:t>0,232</w:t>
            </w:r>
          </w:p>
        </w:tc>
      </w:tr>
    </w:tbl>
    <w:p>
      <w:pPr>
        <w:pStyle w:val="Heading3"/>
      </w:pPr>
      <w:r>
        <w:t>Massnahmenpaket (Auszug)</w:t>
      </w:r>
    </w:p>
    <w:p>
      <w:pPr>
        <w:pStyle w:val="Heading4"/>
      </w:pPr>
      <w:r>
        <w:t>§ 1 Energiebezug (Scope 2)</w:t>
      </w:r>
    </w:p>
    <w:p>
      <w:r>
        <w:rPr>
          <w:b/>
        </w:rPr>
        <w:t xml:space="preserve">(1) </w:t>
      </w:r>
      <w:r>
        <w:t>Sofortige Umstellung deutscher Standorte (REG, RSG, RHO) auf 100 %-Gruenstrom-PPAs ab 1.1.2024 (Ausschreibung Q2 2023, Lead Sabine Hartmann).</w:t>
      </w:r>
    </w:p>
    <w:p>
      <w:r>
        <w:rPr>
          <w:b/>
        </w:rPr>
        <w:t xml:space="preserve">(2) </w:t>
      </w:r>
      <w:r>
        <w:t>Polen (RPL): PPA mit Onshore-Wind PL-Nord, 65 GWh/a, Vertragslaufzeit 10 Jahre, Verhandlungsfuehrung mit Tauron Polska Energia und PGE Energia Odnawialna.</w:t>
      </w:r>
    </w:p>
    <w:p>
      <w:r>
        <w:rPr>
          <w:b/>
        </w:rPr>
        <w:t xml:space="preserve">(3) </w:t>
      </w:r>
      <w:r>
        <w:t>Tschechien (RCZ) und Ungarn (RHU): kombinierter PPA mit CEZ/MVM oder Marktbezug mit Herkunftsnachweisen (GoO/G-REX).</w:t>
      </w:r>
    </w:p>
    <w:p>
      <w:pPr>
        <w:pStyle w:val="Heading4"/>
      </w:pPr>
      <w:r>
        <w:t>§ 2 Eigenerzeugung</w:t>
      </w:r>
    </w:p>
    <w:p>
      <w:r>
        <w:rPr>
          <w:b/>
        </w:rPr>
        <w:t xml:space="preserve">(1) </w:t>
      </w:r>
      <w:r>
        <w:t>PV-Aufdach REG Heilbronn: 4,8 MWp (Dachflaeche Werk 1+2), Investvolumen 4,2 Mio. EUR, ROI ca. 8 Jahre. Inbetriebnahme Q3 2024.</w:t>
      </w:r>
    </w:p>
    <w:p>
      <w:r>
        <w:rPr>
          <w:b/>
        </w:rPr>
        <w:t xml:space="preserve">(2) </w:t>
      </w:r>
      <w:r>
        <w:t>PV RPL Katowice 3,2 MWp; pruefung Batteriespeicher 2 MWh.</w:t>
      </w:r>
    </w:p>
    <w:p>
      <w:r>
        <w:rPr>
          <w:b/>
        </w:rPr>
        <w:t xml:space="preserve">(3) </w:t>
      </w:r>
      <w:r>
        <w:t>Kraft-Waerme-Kopplung Werk Brno: Pruefung BHKW 1,5 MWel mit Biomethan.</w:t>
      </w:r>
    </w:p>
    <w:p>
      <w:pPr>
        <w:pStyle w:val="Heading4"/>
      </w:pPr>
      <w:r>
        <w:t>§ 3 Scope 1 - Brennstoffe</w:t>
      </w:r>
    </w:p>
    <w:p>
      <w:r>
        <w:rPr>
          <w:b/>
        </w:rPr>
        <w:t xml:space="preserve">(1) </w:t>
      </w:r>
      <w:r>
        <w:t>Umstellung Erdgas-Heizung REG/RPL auf elektrische Waermepumpen + industrielle Abwaermenutzung der SMD-Linien (Pilot 2024, Roll-out bis 2028).</w:t>
      </w:r>
    </w:p>
    <w:p>
      <w:r>
        <w:rPr>
          <w:b/>
        </w:rPr>
        <w:t xml:space="preserve">(2) </w:t>
      </w:r>
      <w:r>
        <w:t>Fuhrpark: Umstellung Aussendienst-Fahrzeuge auf BEV bis 2026 (100 %).</w:t>
      </w:r>
    </w:p>
    <w:p>
      <w:pPr>
        <w:pStyle w:val="Heading4"/>
      </w:pPr>
      <w:r>
        <w:t>§ 4 Restemissionen</w:t>
      </w:r>
    </w:p>
    <w:p>
      <w:r>
        <w:rPr>
          <w:b/>
        </w:rPr>
        <w:t xml:space="preserve">(1) </w:t>
      </w:r>
      <w:r>
        <w:t>Verbleibende Scope-1+2-Restmenge (Schaetzung 2030: &lt; 10 % von 2022) wird ueber hochqualifizierte CO2-Removal-Zertifikate (CDR, Gold Standard / Verra VCS) kompensiert. Kein offsetting via fossiler Vermeidungsprojekte.</w:t>
      </w:r>
    </w:p>
    <w:p>
      <w:pPr>
        <w:pStyle w:val="Heading3"/>
      </w:pPr>
      <w:r>
        <w:t>Finanzieller Rahmen / Covenants-Bezug</w:t>
      </w:r>
    </w:p>
    <w:p>
      <w:r>
        <w:t>Geschaetztes Capex 2023-2030: 48 Mio. EUR (davon 24 Mio. PV/PPA-Infrastruktur). Refinanzierung ueber ESG-Tranche bestehende Konsortialfinanzierung (Sustainability-Linked-Loan mit ±5 bp Margenanpassung gemaess Scope 1+2-KPI). Auswirkung auf Net-Debt/EBITDA-Covenant im Toleranzbereich (&lt; 0,1 turn). Abstimmung mit Markus Pflanzer (Group Treasurer).</w:t>
      </w:r>
    </w:p>
    <w:p>
      <w:pPr>
        <w:pStyle w:val="Heading3"/>
      </w:pPr>
      <w:r>
        <w:t>Beschlussvorschlag</w:t>
      </w:r>
    </w:p>
    <w:p>
      <w:r>
        <w:t>Der Vorstand beschliesst die Roadmap »Carbon Neutrality 2030« in der vorliegenden Fassung und beauftragt Dr. Robert Walther (CPO) mit der Umsetzung. Quartalsweises Reporting an den Aufsichtsrat (Pruefungsausschuss Prof. Dr.-Ing. Voss). Erste Massnahmen werden im Q1/Q2 2023 angestossen; CSRD-Berichtsreife bis 31.12.2024.</w:t>
      </w:r>
    </w:p>
    <w:p>
      <w:pPr>
        <w:pStyle w:val="Heading3"/>
      </w:pPr>
      <w:r>
        <w:t>Unterschrift Vorlage</w:t>
      </w:r>
    </w:p>
    <w:p>
      <w:r>
        <w:t>Ort, Datum: Stuttgart, den Stuttgart, 7. Februar 2023</w:t>
      </w:r>
    </w:p>
    <w:p>
      <w:r>
        <w:t>_________________________            _________________________</w:t>
        <w:br/>
        <w:t>Dr. Robert Walther                          Florian Maier</w:t>
        <w:br/>
        <w:t>Vorstand / CPO Operations                          Group Controller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