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Lieferantenentwicklungsprogramm 2023 - NXP Semiconductors Germany GmbH</w:t>
      </w:r>
    </w:p>
    <w:p>
      <w:pPr>
        <w:jc w:val="center"/>
      </w:pPr>
      <w:r>
        <w:t>Supplier Development Plan / SDP - Brennhagen Konzern-Einkauf</w:t>
      </w:r>
    </w:p>
    <w:p/>
    <w:p>
      <w:pPr>
        <w:pStyle w:val="Heading3"/>
      </w:pPr>
      <w:r>
        <w:t>Programmrahmen</w:t>
      </w:r>
    </w:p>
    <w:p>
      <w:r>
        <w:t>Lieferant:</w:t>
        <w:br/>
        <w:t>NXP Semiconductors Germany GmbH</w:t>
        <w:br/>
        <w:t>Troplowitzstrasse 20, 22529 Hamburg</w:t>
        <w:br/>
        <w:t>Lieferanten-Nr. Brennhagen: REA-L-NXP</w:t>
        <w:br/>
        <w:t>Kategorie / Warengruppe: CAN-/LIN-/Ethernet-Transceiver, S32-MCU-Familie, MIFARE-Security</w:t>
        <w:br/>
        <w:t>Ansprechpartner Lieferant: Frau Petra Sommer (Senior Account Manager EMEA Automotive)</w:t>
        <w:br/>
        <w:t>Qualitaetsverantwortlich Lieferant: Herr Olaf Brandt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Zielsetzung</w:t>
      </w:r>
    </w:p>
    <w:p>
      <w:r>
        <w:t>Auf Basis der Lieferantenbewertung 2022 sowie der VDA 6.3-Auditergebnisse 2022-2023 definiert dieses Lieferantenentwicklungsprogramm konkrete Massnahmen, um den Lieferanten NXP Semiconductors Germany GmbH (Brennhagen-Lieferanten-Nr. REA-L-NXP) als strategischen Partner der Kategorie »CAN-/LIN-/Ethernet-Transceiver, S32-MCU-Familie, MIFARE-Security« weiterzuentwickeln. Programmzeitraum: Kalenderjahr 2023, Status-Reviews Q1, Q2, Q3, Abschlussreview Dezember 2023.</w:t>
      </w:r>
    </w:p>
    <w:p>
      <w:pPr>
        <w:pStyle w:val="Heading3"/>
      </w:pPr>
      <w:r>
        <w:t>Massnahmenplan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 (Brennhagen)</w:t>
            </w:r>
          </w:p>
        </w:tc>
        <w:tc>
          <w:tcPr>
            <w:tcW w:type="dxa" w:w="1728"/>
          </w:tcPr>
          <w:p>
            <w:r>
              <w:t>Verantwortlich (Lieferant)</w:t>
            </w:r>
          </w:p>
        </w:tc>
        <w:tc>
          <w:tcPr>
            <w:tcW w:type="dxa" w:w="1728"/>
          </w:tcPr>
          <w:p>
            <w:r>
              <w:t>Termin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Einfuehrung Cpk-Trend-Monitoring monatlich (SupplyOn-Portal)</w:t>
            </w:r>
          </w:p>
        </w:tc>
        <w:tc>
          <w:tcPr>
            <w:tcW w:type="dxa" w:w="1728"/>
          </w:tcPr>
          <w:p>
            <w:r>
              <w:t>Andreas Kaufmann (Head SQE)</w:t>
            </w:r>
          </w:p>
        </w:tc>
        <w:tc>
          <w:tcPr>
            <w:tcW w:type="dxa" w:w="1728"/>
          </w:tcPr>
          <w:p>
            <w:r>
              <w:t>Herr Olaf Brandt</w:t>
            </w:r>
          </w:p>
        </w:tc>
        <w:tc>
          <w:tcPr>
            <w:tcW w:type="dxa" w:w="1728"/>
          </w:tcPr>
          <w:p>
            <w:r>
              <w:t>31.3.2023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BCM-Plan-Update mit Second-Source-Fab-Out fuer alle A-Teile</w:t>
            </w:r>
          </w:p>
        </w:tc>
        <w:tc>
          <w:tcPr>
            <w:tcW w:type="dxa" w:w="1728"/>
          </w:tcPr>
          <w:p>
            <w:r>
              <w:t>Christine Berger (Risk Mgr)</w:t>
            </w:r>
          </w:p>
        </w:tc>
        <w:tc>
          <w:tcPr>
            <w:tcW w:type="dxa" w:w="1728"/>
          </w:tcPr>
          <w:p>
            <w:r>
              <w:t>Frau Petra Sommer (Senior Account Manager EMEA Automotive)</w:t>
            </w:r>
          </w:p>
        </w:tc>
        <w:tc>
          <w:tcPr>
            <w:tcW w:type="dxa" w:w="1728"/>
          </w:tcPr>
          <w:p>
            <w:r>
              <w:t>30.6.2023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Reduktion 8D-Reaktionszeit D3 auf &lt; 24 h (von 36 h)</w:t>
            </w:r>
          </w:p>
        </w:tc>
        <w:tc>
          <w:tcPr>
            <w:tcW w:type="dxa" w:w="1728"/>
          </w:tcPr>
          <w:p>
            <w:r>
              <w:t>Andreas Kaufmann</w:t>
            </w:r>
          </w:p>
        </w:tc>
        <w:tc>
          <w:tcPr>
            <w:tcW w:type="dxa" w:w="1728"/>
          </w:tcPr>
          <w:p>
            <w:r>
              <w:t>Herr Olaf Brandt</w:t>
            </w:r>
          </w:p>
        </w:tc>
        <w:tc>
          <w:tcPr>
            <w:tcW w:type="dxa" w:w="1728"/>
          </w:tcPr>
          <w:p>
            <w:r>
              <w:t>30.6.2023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ECO-Anbindung: digitale CAR (Corrective Action Request) ueber SupplyOn</w:t>
            </w:r>
          </w:p>
        </w:tc>
        <w:tc>
          <w:tcPr>
            <w:tcW w:type="dxa" w:w="1728"/>
          </w:tcPr>
          <w:p>
            <w:r>
              <w:t>Tobias Lange (Lead Buyer)</w:t>
            </w:r>
          </w:p>
        </w:tc>
        <w:tc>
          <w:tcPr>
            <w:tcW w:type="dxa" w:w="1728"/>
          </w:tcPr>
          <w:p>
            <w:r>
              <w:t>Frau Petra Sommer (Senior Account Manager EMEA Automotive)</w:t>
            </w:r>
          </w:p>
        </w:tc>
        <w:tc>
          <w:tcPr>
            <w:tcW w:type="dxa" w:w="1728"/>
          </w:tcPr>
          <w:p>
            <w:r>
              <w:t>30.9.2023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EcoVadis-Score-Steigerung auf &gt;= 72 (Stand 2022: 64)</w:t>
            </w:r>
          </w:p>
        </w:tc>
        <w:tc>
          <w:tcPr>
            <w:tcW w:type="dxa" w:w="1728"/>
          </w:tcPr>
          <w:p>
            <w:r>
              <w:t>Christine Berger</w:t>
            </w:r>
          </w:p>
        </w:tc>
        <w:tc>
          <w:tcPr>
            <w:tcW w:type="dxa" w:w="1728"/>
          </w:tcPr>
          <w:p>
            <w:r>
              <w:t>Herr Olaf Brandt</w:t>
            </w:r>
          </w:p>
        </w:tc>
        <w:tc>
          <w:tcPr>
            <w:tcW w:type="dxa" w:w="1728"/>
          </w:tcPr>
          <w:p>
            <w:r>
              <w:t>31.12.2023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Pilot Direkt-Cross-Docking REG Heilbronn (Reduktion Bestand -25 %)</w:t>
            </w:r>
          </w:p>
        </w:tc>
        <w:tc>
          <w:tcPr>
            <w:tcW w:type="dxa" w:w="1728"/>
          </w:tcPr>
          <w:p>
            <w:r>
              <w:t>Sabine Hartmann (Head Direct)</w:t>
            </w:r>
          </w:p>
        </w:tc>
        <w:tc>
          <w:tcPr>
            <w:tcW w:type="dxa" w:w="1728"/>
          </w:tcPr>
          <w:p>
            <w:r>
              <w:t>Frau Petra Sommer (Senior Account Manager EMEA Automotive)</w:t>
            </w:r>
          </w:p>
        </w:tc>
        <w:tc>
          <w:tcPr>
            <w:tcW w:type="dxa" w:w="1728"/>
          </w:tcPr>
          <w:p>
            <w:r>
              <w:t>31.12.2023</w:t>
            </w:r>
          </w:p>
        </w:tc>
      </w:tr>
    </w:tbl>
    <w:p>
      <w:pPr>
        <w:pStyle w:val="Heading3"/>
      </w:pPr>
      <w:r>
        <w:t>KPI-Zielwerte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Stand 2022</w:t>
            </w:r>
          </w:p>
        </w:tc>
        <w:tc>
          <w:tcPr>
            <w:tcW w:type="dxa" w:w="2880"/>
          </w:tcPr>
          <w:p>
            <w:r>
              <w:t>Ziel 2023</w:t>
            </w:r>
          </w:p>
        </w:tc>
      </w:tr>
      <w:tr>
        <w:tc>
          <w:tcPr>
            <w:tcW w:type="dxa" w:w="2880"/>
          </w:tcPr>
          <w:p>
            <w:r>
              <w:t>Liefertreue (OTD)</w:t>
            </w:r>
          </w:p>
        </w:tc>
        <w:tc>
          <w:tcPr>
            <w:tcW w:type="dxa" w:w="2880"/>
          </w:tcPr>
          <w:p>
            <w:r>
              <w:t>94,2 %</w:t>
            </w:r>
          </w:p>
        </w:tc>
        <w:tc>
          <w:tcPr>
            <w:tcW w:type="dxa" w:w="2880"/>
          </w:tcPr>
          <w:p>
            <w:r>
              <w:t>&gt;= 98,0 %</w:t>
            </w:r>
          </w:p>
        </w:tc>
      </w:tr>
      <w:tr>
        <w:tc>
          <w:tcPr>
            <w:tcW w:type="dxa" w:w="2880"/>
          </w:tcPr>
          <w:p>
            <w:r>
              <w:t>Liefermengentreue (OQD)</w:t>
            </w:r>
          </w:p>
        </w:tc>
        <w:tc>
          <w:tcPr>
            <w:tcW w:type="dxa" w:w="2880"/>
          </w:tcPr>
          <w:p>
            <w:r>
              <w:t>96,8 %</w:t>
            </w:r>
          </w:p>
        </w:tc>
        <w:tc>
          <w:tcPr>
            <w:tcW w:type="dxa" w:w="2880"/>
          </w:tcPr>
          <w:p>
            <w:r>
              <w:t>&gt;= 99,0 %</w:t>
            </w:r>
          </w:p>
        </w:tc>
      </w:tr>
      <w:tr>
        <w:tc>
          <w:tcPr>
            <w:tcW w:type="dxa" w:w="2880"/>
          </w:tcPr>
          <w:p>
            <w:r>
              <w:t>Reklamationsquote (PPM)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&lt;= 40</w:t>
            </w:r>
          </w:p>
        </w:tc>
      </w:tr>
      <w:tr>
        <w:tc>
          <w:tcPr>
            <w:tcW w:type="dxa" w:w="2880"/>
          </w:tcPr>
          <w:p>
            <w:r>
              <w:t>8D-Reaktionszeit D3 (h)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&lt; 24</w:t>
            </w:r>
          </w:p>
        </w:tc>
      </w:tr>
      <w:tr>
        <w:tc>
          <w:tcPr>
            <w:tcW w:type="dxa" w:w="2880"/>
          </w:tcPr>
          <w:p>
            <w:r>
              <w:t>VDA 6.3 Audit-Score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&gt;= 90</w:t>
            </w:r>
          </w:p>
        </w:tc>
      </w:tr>
      <w:tr>
        <w:tc>
          <w:tcPr>
            <w:tcW w:type="dxa" w:w="2880"/>
          </w:tcPr>
          <w:p>
            <w:r>
              <w:t>EcoVadis-Score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&gt;= 72</w:t>
            </w:r>
          </w:p>
        </w:tc>
      </w:tr>
    </w:tbl>
    <w:p>
      <w:pPr>
        <w:pStyle w:val="Heading3"/>
      </w:pPr>
      <w:r>
        <w:t>Governance</w:t>
      </w:r>
    </w:p>
    <w:p>
      <w:pPr>
        <w:pStyle w:val="ListBullet"/>
      </w:pPr>
      <w:r>
        <w:t>Monatlicher SDP-Steering-Call (jeweils 1. Mittwoch im Monat, 09:30 Uhr).</w:t>
      </w:r>
    </w:p>
    <w:p>
      <w:pPr>
        <w:pStyle w:val="ListBullet"/>
      </w:pPr>
      <w:r>
        <w:t>Quartalsweises Executive Review mit Dr. Robert Walther (CPO) und Geschaeftsleitung Lieferant.</w:t>
      </w:r>
    </w:p>
    <w:p>
      <w:pPr>
        <w:pStyle w:val="ListBullet"/>
      </w:pPr>
      <w:r>
        <w:t>Eskalationspfad bei Off-Track: Tobias Lange -&gt; Sabine Hartmann -&gt; Dr. Robert Walther.</w:t>
      </w:r>
    </w:p>
    <w:p>
      <w:pPr>
        <w:pStyle w:val="ListBullet"/>
      </w:pPr>
      <w:r>
        <w:t>Programmabschluss-Review: 15.12.2023, gemeinsamer Sign-off durch CPO und Lieferant.</w:t>
      </w:r>
    </w:p>
    <w:p>
      <w:pPr>
        <w:pStyle w:val="Heading3"/>
      </w:pPr>
      <w:r>
        <w:t>Sign-off</w:t>
      </w:r>
    </w:p>
    <w:p>
      <w:r>
        <w:t>Ort, Datum: Stuttgart, den Stuttgart, 16. Januar 2023</w:t>
      </w:r>
    </w:p>
    <w:p>
      <w:r>
        <w:t>_________________________            _________________________</w:t>
        <w:br/>
        <w:t>Sabine Hartmann                          Frau Petra Sommer</w:t>
        <w:br/>
        <w:t>Head of Direct Materials                          Key Account Manager Automotive</w:t>
        <w:br/>
        <w:t>Brennhagen Elektronik AG                       NXP Semiconductors Germany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