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Anfrage (RFQ) - Halbleiter Mikrocontroller (MCU) - Programmportfolio Brennhagen 2024</w:t>
      </w:r>
    </w:p>
    <w:p>
      <w:pPr>
        <w:jc w:val="center"/>
      </w:pPr>
      <w:r>
        <w:t>Request for Quotation - Strategischer Einkauf Brennhagen Elektronik AG</w:t>
      </w:r>
    </w:p>
    <w:p/>
    <w:p>
      <w:pPr>
        <w:pStyle w:val="Heading3"/>
      </w:pPr>
      <w:r>
        <w:t>Anfragestellung</w:t>
      </w:r>
    </w:p>
    <w:p>
      <w:r>
        <w:t>Auftraggeberin:</w:t>
        <w:br/>
        <w:t>Brennhagen Elektronik AG, Vaihinger Straße 120, 70567 Stuttgart</w:t>
        <w:br/>
        <w:t>Anfrage-Nr.: REA-RFQ-2024-MCU</w:t>
        <w:br/>
        <w:t>Anfrage-Datum: 18. Januar 2024</w:t>
        <w:br/>
        <w:t>Rueckmeldefrist (verbindliches Angebot): 28. Februar 2024, 17:00 Uhr MEZ</w:t>
      </w:r>
    </w:p>
    <w:p>
      <w:r>
        <w:t>Verantwortlich Einkauf: Tobias Lange (Strategischer Einkauf Halbleiter) bzw. Sabine Hartmann (Head of Direct Materials)</w:t>
        <w:br/>
        <w:t>In Kopie: Dr. Robert Walther (CPO), Christine Berger (Supplier Risk), Andreas Kaufmann (Head of Supplier Quality)</w:t>
      </w:r>
    </w:p>
    <w:p>
      <w:pPr>
        <w:pStyle w:val="Heading3"/>
      </w:pPr>
      <w:r>
        <w:t>Beschaffungsumfang</w:t>
      </w:r>
    </w:p>
    <w:p>
      <w:r>
        <w:t>Brennhagen fragt fuer die Programmzeitraeume 2024 bis 2027 ein verbindliches Angebot zur Belieferung der Warengruppe »Halbleiter Mikrocontroller (MCU) - Programmportfolio Brennhagen« an. Belieferungsziele: Werke REG Heilbronn, RPL Katowice, RCZ Brno und RHU Gyoer. Die detaillierte Stueckliste (BOM) inklusive Plan-Volumina, Spezifikationen, Pruefanforderungen und Verpackungsvorgaben liegt als Anlage 1 zu dieser Anfrage bei (zugaenglich nur ueber das Brennhagen-eRFQ-Portal SupplyOn nach NDA-Unterzeichnung).</w:t>
      </w:r>
    </w:p>
    <w:p>
      <w:pPr>
        <w:pStyle w:val="Heading3"/>
      </w:pPr>
      <w:r>
        <w:t>Plan-Volumen indikativ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Jahr</w:t>
            </w:r>
          </w:p>
        </w:tc>
        <w:tc>
          <w:tcPr>
            <w:tcW w:type="dxa" w:w="2880"/>
          </w:tcPr>
          <w:p>
            <w:r>
              <w:t>Volumen kumuliert (Stueck/Jahr)</w:t>
            </w:r>
          </w:p>
        </w:tc>
        <w:tc>
          <w:tcPr>
            <w:tcW w:type="dxa" w:w="2880"/>
          </w:tcPr>
          <w:p>
            <w:r>
              <w:t>Wertvolumen (Mio. EUR, indikativ)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rd. 1,8 Mio.</w:t>
            </w:r>
          </w:p>
        </w:tc>
        <w:tc>
          <w:tcPr>
            <w:tcW w:type="dxa" w:w="2880"/>
          </w:tcPr>
          <w:p>
            <w:r>
              <w:t>rd. 4,2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rd. 2,2 Mio.</w:t>
            </w:r>
          </w:p>
        </w:tc>
        <w:tc>
          <w:tcPr>
            <w:tcW w:type="dxa" w:w="2880"/>
          </w:tcPr>
          <w:p>
            <w:r>
              <w:t>rd. 5,1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rd. 2,5 Mio.</w:t>
            </w:r>
          </w:p>
        </w:tc>
        <w:tc>
          <w:tcPr>
            <w:tcW w:type="dxa" w:w="2880"/>
          </w:tcPr>
          <w:p>
            <w:r>
              <w:t>rd. 5,8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rd. 2,6 Mio.</w:t>
            </w:r>
          </w:p>
        </w:tc>
        <w:tc>
          <w:tcPr>
            <w:tcW w:type="dxa" w:w="2880"/>
          </w:tcPr>
          <w:p>
            <w:r>
              <w:t>rd. 6,0</w:t>
            </w:r>
          </w:p>
        </w:tc>
      </w:tr>
    </w:tbl>
    <w:p>
      <w:pPr>
        <w:pStyle w:val="Heading3"/>
      </w:pPr>
      <w:r>
        <w:t>Anforderungen an das Angebot</w:t>
      </w:r>
    </w:p>
    <w:p>
      <w:pPr>
        <w:pStyle w:val="ListBullet"/>
      </w:pPr>
      <w:r>
        <w:t>Verbindliche Stueckpreise EXW und DDP Werk Heilbronn (Incoterms 2020).</w:t>
      </w:r>
    </w:p>
    <w:p>
      <w:pPr>
        <w:pStyle w:val="ListBullet"/>
      </w:pPr>
      <w:r>
        <w:t>Preisstaffelung nach Abrufmenge, Festpreis-Zusage 24 Monate.</w:t>
      </w:r>
    </w:p>
    <w:p>
      <w:pPr>
        <w:pStyle w:val="ListBullet"/>
      </w:pPr>
      <w:r>
        <w:t>Liefertreue-Zusage (OTD) &gt;= 98 %, OQD &gt;= 99 %.</w:t>
      </w:r>
    </w:p>
    <w:p>
      <w:pPr>
        <w:pStyle w:val="ListBullet"/>
      </w:pPr>
      <w:r>
        <w:t>Aussagefaehiger BCM-Plan (mind. zweiter Fertigungsstandort fuer A-Teile).</w:t>
      </w:r>
    </w:p>
    <w:p>
      <w:pPr>
        <w:pStyle w:val="ListBullet"/>
      </w:pPr>
      <w:r>
        <w:t>Vollumfaengliche PPAP Level 3 fuer alle Erstmuster bis 30.9.2024.</w:t>
      </w:r>
    </w:p>
    <w:p>
      <w:pPr>
        <w:pStyle w:val="ListBullet"/>
      </w:pPr>
      <w:r>
        <w:t>Sustainability: EcoVadis-Score &gt;= 65, LkSG-Selbstauskunft beigefuegt.</w:t>
      </w:r>
    </w:p>
    <w:p>
      <w:pPr>
        <w:pStyle w:val="ListBullet"/>
      </w:pPr>
      <w:r>
        <w:t>Zertifikate: IATF 16949, ISO 14001, ISO 27001 oder TISAX (sofern softwarenah).</w:t>
      </w:r>
    </w:p>
    <w:p>
      <w:pPr>
        <w:pStyle w:val="ListBullet"/>
      </w:pPr>
      <w:r>
        <w:t>Konzeptvorschlag Konsignations-/Kanban-Belieferung sofern wirtschaftlich.</w:t>
      </w:r>
    </w:p>
    <w:p>
      <w:pPr>
        <w:pStyle w:val="Heading3"/>
      </w:pPr>
      <w:r>
        <w:t>Bewertungsmatrix (Punkte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Kriterium</w:t>
            </w:r>
          </w:p>
        </w:tc>
        <w:tc>
          <w:tcPr>
            <w:tcW w:type="dxa" w:w="4320"/>
          </w:tcPr>
          <w:p>
            <w:r>
              <w:t>Gewichtung</w:t>
            </w:r>
          </w:p>
        </w:tc>
      </w:tr>
      <w:tr>
        <w:tc>
          <w:tcPr>
            <w:tcW w:type="dxa" w:w="4320"/>
          </w:tcPr>
          <w:p>
            <w:r>
              <w:t>Preis (TCO)</w:t>
            </w:r>
          </w:p>
        </w:tc>
        <w:tc>
          <w:tcPr>
            <w:tcW w:type="dxa" w:w="4320"/>
          </w:tcPr>
          <w:p>
            <w:r>
              <w:t>40 %</w:t>
            </w:r>
          </w:p>
        </w:tc>
      </w:tr>
      <w:tr>
        <w:tc>
          <w:tcPr>
            <w:tcW w:type="dxa" w:w="4320"/>
          </w:tcPr>
          <w:p>
            <w:r>
              <w:t>Lieferfaehigkeit / BCM</w:t>
            </w:r>
          </w:p>
        </w:tc>
        <w:tc>
          <w:tcPr>
            <w:tcW w:type="dxa" w:w="4320"/>
          </w:tcPr>
          <w:p>
            <w:r>
              <w:t>20 %</w:t>
            </w:r>
          </w:p>
        </w:tc>
      </w:tr>
      <w:tr>
        <w:tc>
          <w:tcPr>
            <w:tcW w:type="dxa" w:w="4320"/>
          </w:tcPr>
          <w:p>
            <w:r>
              <w:t>Qualitaet (Audit-Historie, PPM)</w:t>
            </w:r>
          </w:p>
        </w:tc>
        <w:tc>
          <w:tcPr>
            <w:tcW w:type="dxa" w:w="4320"/>
          </w:tcPr>
          <w:p>
            <w:r>
              <w:t>15 %</w:t>
            </w:r>
          </w:p>
        </w:tc>
      </w:tr>
      <w:tr>
        <w:tc>
          <w:tcPr>
            <w:tcW w:type="dxa" w:w="4320"/>
          </w:tcPr>
          <w:p>
            <w:r>
              <w:t>Innovation / Roadmap-Fit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  <w:tr>
        <w:tc>
          <w:tcPr>
            <w:tcW w:type="dxa" w:w="4320"/>
          </w:tcPr>
          <w:p>
            <w:r>
              <w:t>Nachhaltigkeit (EcoVadis, Scope 1+2)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  <w:tr>
        <w:tc>
          <w:tcPr>
            <w:tcW w:type="dxa" w:w="4320"/>
          </w:tcPr>
          <w:p>
            <w:r>
              <w:t>Vertrags- und Compliance-Reife</w:t>
            </w:r>
          </w:p>
        </w:tc>
        <w:tc>
          <w:tcPr>
            <w:tcW w:type="dxa" w:w="4320"/>
          </w:tcPr>
          <w:p>
            <w:r>
              <w:t>5 %</w:t>
            </w:r>
          </w:p>
        </w:tc>
      </w:tr>
    </w:tbl>
    <w:p>
      <w:pPr>
        <w:pStyle w:val="Heading3"/>
      </w:pPr>
      <w:r>
        <w:t>Verfahrenshinweise</w:t>
      </w:r>
    </w:p>
    <w:p>
      <w:r>
        <w:t>Die Anfrage richtet sich an die im Anhang 3 aufgefuehrten 6 vor-qualifizierten Lieferanten. Zwischenfragen sind ausschliesslich ueber das Q&amp;A-Modul im eRFQ-Portal bis 14.2.2024 zu stellen. Nach Auswertung erfolgt eine Shortlist auf 2-3 Lieferanten und eine Verhandlungsrunde im April 2024; Award-Entscheidung durch Einkaufsausschuss (CPO + CFO + COO) im Mai 2024.</w:t>
      </w:r>
    </w:p>
    <w:p>
      <w:pPr>
        <w:pStyle w:val="Heading3"/>
      </w:pPr>
      <w:r>
        <w:t>Unterschrift</w:t>
      </w:r>
    </w:p>
    <w:p>
      <w:r>
        <w:t>Ort, Datum: Stuttgart, den Stuttgart, 18. Januar 2024</w:t>
      </w:r>
    </w:p>
    <w:p>
      <w:r>
        <w:t>_________________________            _________________________</w:t>
        <w:br/>
        <w:t>Tobias Lange                          Sabine Hartmann</w:t>
        <w:br/>
        <w:t>Strategischer Einkauf                          Head of Direct Materials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