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Long-Term Agreement (LTA) - STMicroelectronics GmbH - 2023-2026</w:t>
      </w:r>
    </w:p>
    <w:p>
      <w:pPr>
        <w:jc w:val="center"/>
      </w:pPr>
      <w:r>
        <w:t>Langfristlieferzusage und Preisbindung fuer Halbleiterkomponenten</w:t>
      </w:r>
    </w:p>
    <w:p/>
    <w:p>
      <w:pPr>
        <w:pStyle w:val="Heading3"/>
      </w:pPr>
      <w:r>
        <w:t>Vertragsparteien</w:t>
      </w:r>
    </w:p>
    <w:p>
      <w:r>
        <w:t>Lieferant:</w:t>
        <w:br/>
        <w:t>STMicroelectronics GmbH</w:t>
        <w:br/>
        <w:t>Bahnhofstrasse 18, 85609 Aschheim-Dornach</w:t>
        <w:br/>
        <w:t>Lieferanten-Nr. Brennhagen: REA-L-STM</w:t>
        <w:br/>
        <w:t>Kategorie / Warengruppe: STM32-MCU, MEMS-Sensoren (Druck/Inertial), SiC-Power-MOSFETs</w:t>
        <w:br/>
        <w:t>Ansprechpartner Lieferant: Sig. Luca Marini (EMEA Automotive Account Director)</w:t>
        <w:br/>
        <w:t>Qualitaetsverantwortlich Lieferant: Frau Isabella Conti</w:t>
      </w:r>
    </w:p>
    <w:p>
      <w:r>
        <w:t>Auftraggeberin:</w:t>
        <w:br/>
        <w:t>Brennhagen Elektronik AG, Vaihinger Straße 120, 70567 Stuttgart</w:t>
        <w:br/>
        <w:t>Strategischer Einkauf Halbleiter: Tobias Lange (Lead Buyer)</w:t>
        <w:br/>
        <w:t>Head of Direct Materials: Sabine Hartmann</w:t>
        <w:br/>
        <w:t>Supplier Quality: Andreas Kaufmann (Head of Supplier Quality, Personalunion Werk-Q REG)</w:t>
        <w:br/>
        <w:t>Risk Manager: Christine Berger (Supplier Risk)</w:t>
        <w:br/>
        <w:t>Vorstandsverantwortung: Dr. Robert Walther (CPO, Operations) - Berichtslinie an COO Dr. Thomas Weber</w:t>
      </w:r>
    </w:p>
    <w:p>
      <w:pPr>
        <w:pStyle w:val="Heading3"/>
      </w:pPr>
      <w:r>
        <w:t>1. Rahmenbedingungen</w:t>
      </w:r>
    </w:p>
    <w:p>
      <w:r>
        <w:t>Die Parteien vereinbaren mit diesem Long-Term Agreement (»LTA«) eine Mehrjahres-Lieferbeziehung fuer die in Anhang 1 aufgefuehrten Halbleiterkomponenten der Warengruppe »STM32-MCU, MEMS-Sensoren (Druck/Inertial), SiC-Power-MOSFETs«. Vertragslaufzeit: 1. Januar 2023 bis 31. Dezember 2026 (36 Monate) mit Verlaengerungsoption um jeweils 12 Monate bei beidseitiger Erklaerung spaetestens 9 Monate vor Vertragsende.</w:t>
      </w:r>
    </w:p>
    <w:p>
      <w:pPr>
        <w:pStyle w:val="Heading3"/>
      </w:pPr>
      <w:r>
        <w:t>2. Volumen und Verbindlichkeit</w:t>
      </w:r>
    </w:p>
    <w:tbl>
      <w:tblPr>
        <w:tblStyle w:val="TableGrid"/>
        <w:tblW w:type="auto" w:w="0"/>
        <w:tblLook w:firstColumn="1" w:firstRow="1" w:lastColumn="0" w:lastRow="0" w:noHBand="0" w:noVBand="1" w:val="04A0"/>
      </w:tblPr>
      <w:tblGrid>
        <w:gridCol w:w="2880"/>
        <w:gridCol w:w="2880"/>
        <w:gridCol w:w="2880"/>
      </w:tblGrid>
      <w:tr>
        <w:tc>
          <w:tcPr>
            <w:tcW w:type="dxa" w:w="2880"/>
          </w:tcPr>
          <w:p>
            <w:r>
              <w:t>Jahr</w:t>
            </w:r>
          </w:p>
        </w:tc>
        <w:tc>
          <w:tcPr>
            <w:tcW w:type="dxa" w:w="2880"/>
          </w:tcPr>
          <w:p>
            <w:r>
              <w:t>Min-Volumen (Stueck, kumuliert ueber Komponenten)</w:t>
            </w:r>
          </w:p>
        </w:tc>
        <w:tc>
          <w:tcPr>
            <w:tcW w:type="dxa" w:w="2880"/>
          </w:tcPr>
          <w:p>
            <w:r>
              <w:t>Wertvolumen (Mio. EUR, indikativ)</w:t>
            </w:r>
          </w:p>
        </w:tc>
      </w:tr>
      <w:tr>
        <w:tc>
          <w:tcPr>
            <w:tcW w:type="dxa" w:w="2880"/>
          </w:tcPr>
          <w:p>
            <w:r>
              <w:t>2023</w:t>
            </w:r>
          </w:p>
        </w:tc>
        <w:tc>
          <w:tcPr>
            <w:tcW w:type="dxa" w:w="2880"/>
          </w:tcPr>
          <w:p>
            <w:r>
              <w:t>4.200.000</w:t>
            </w:r>
          </w:p>
        </w:tc>
        <w:tc>
          <w:tcPr>
            <w:tcW w:type="dxa" w:w="2880"/>
          </w:tcPr>
          <w:p>
            <w:r>
              <w:t>48</w:t>
            </w:r>
          </w:p>
        </w:tc>
      </w:tr>
      <w:tr>
        <w:tc>
          <w:tcPr>
            <w:tcW w:type="dxa" w:w="2880"/>
          </w:tcPr>
          <w:p>
            <w:r>
              <w:t>2024</w:t>
            </w:r>
          </w:p>
        </w:tc>
        <w:tc>
          <w:tcPr>
            <w:tcW w:type="dxa" w:w="2880"/>
          </w:tcPr>
          <w:p>
            <w:r>
              <w:t>4.600.000</w:t>
            </w:r>
          </w:p>
        </w:tc>
        <w:tc>
          <w:tcPr>
            <w:tcW w:type="dxa" w:w="2880"/>
          </w:tcPr>
          <w:p>
            <w:r>
              <w:t>51</w:t>
            </w:r>
          </w:p>
        </w:tc>
      </w:tr>
      <w:tr>
        <w:tc>
          <w:tcPr>
            <w:tcW w:type="dxa" w:w="2880"/>
          </w:tcPr>
          <w:p>
            <w:r>
              <w:t>2025</w:t>
            </w:r>
          </w:p>
        </w:tc>
        <w:tc>
          <w:tcPr>
            <w:tcW w:type="dxa" w:w="2880"/>
          </w:tcPr>
          <w:p>
            <w:r>
              <w:t>5.000.000</w:t>
            </w:r>
          </w:p>
        </w:tc>
        <w:tc>
          <w:tcPr>
            <w:tcW w:type="dxa" w:w="2880"/>
          </w:tcPr>
          <w:p>
            <w:r>
              <w:t>55</w:t>
            </w:r>
          </w:p>
        </w:tc>
      </w:tr>
      <w:tr>
        <w:tc>
          <w:tcPr>
            <w:tcW w:type="dxa" w:w="2880"/>
          </w:tcPr>
          <w:p>
            <w:r>
              <w:t>2026</w:t>
            </w:r>
          </w:p>
        </w:tc>
        <w:tc>
          <w:tcPr>
            <w:tcW w:type="dxa" w:w="2880"/>
          </w:tcPr>
          <w:p>
            <w:r>
              <w:t>5.300.000</w:t>
            </w:r>
          </w:p>
        </w:tc>
        <w:tc>
          <w:tcPr>
            <w:tcW w:type="dxa" w:w="2880"/>
          </w:tcPr>
          <w:p>
            <w:r>
              <w:t>57</w:t>
            </w:r>
          </w:p>
        </w:tc>
      </w:tr>
    </w:tbl>
    <w:p>
      <w:pPr>
        <w:pStyle w:val="Heading3"/>
      </w:pPr>
      <w:r>
        <w:t>3. Preisanpassungsmechanik</w:t>
      </w:r>
    </w:p>
    <w:p>
      <w:r>
        <w:t>Die Stueckpreise gemaess Anhang 2 gelten als Festpreise. Eine Preisanpassung ist einmal jaehrlich (Jahrespreisverhandlung Q4) zulaessig und wird auf Basis der Indizes Destatis GP Reihe 24 (Industrie-Erzeugerpreise Elektronik), WSTS Halbleitermarkt-Index sowie der tatsaechlichen Wafer-Capex-Auslastung des Lieferanten verhandelt. Pass-through-Reglung fuer Energie- und Logistikkosten gemaess gesondertem Anhang 3.</w:t>
      </w:r>
    </w:p>
    <w:p>
      <w:pPr>
        <w:pStyle w:val="Heading3"/>
      </w:pPr>
      <w:r>
        <w:t>4. Versorgungssicherheit und BCM</w:t>
      </w:r>
    </w:p>
    <w:p>
      <w:pPr>
        <w:pStyle w:val="ListBullet"/>
      </w:pPr>
      <w:r>
        <w:t>Lieferant verpflichtet sich zur Vorhaltung eines Sicherheitsbestands von 6 Wochen Forward-Bedarf am Distributionszentrum (Bonded Stock).</w:t>
      </w:r>
    </w:p>
    <w:p>
      <w:pPr>
        <w:pStyle w:val="ListBullet"/>
      </w:pPr>
      <w:r>
        <w:t>Aufbau eines zweiten Wafer-Fab-Outs fuer alle A-Teile bis spaetestens 30.6.2025.</w:t>
      </w:r>
    </w:p>
    <w:p>
      <w:pPr>
        <w:pStyle w:val="ListBullet"/>
      </w:pPr>
      <w:r>
        <w:t>Quartalsweiser BCM-Report an Christine Berger (Supplier Risk Manager Brennhagen).</w:t>
      </w:r>
    </w:p>
    <w:p>
      <w:pPr>
        <w:pStyle w:val="ListBullet"/>
      </w:pPr>
      <w:r>
        <w:t>Eskalationsweg bei Lieferengpass: Sig. Luca Marini (EMEA Automotive Account Director) -&gt; Tobias Lange (Brennhagen Lead Buyer) -&gt; Sabine Hartmann (Head of Direct Materials) -&gt; Dr. Robert Walther (CPO).</w:t>
      </w:r>
    </w:p>
    <w:p>
      <w:pPr>
        <w:pStyle w:val="Heading3"/>
      </w:pPr>
      <w:r>
        <w:t>5. Qualitaet und Pflichten</w:t>
      </w:r>
    </w:p>
    <w:p>
      <w:r>
        <w:t>Es gelten die zwischen den Parteien geschlossene Qualitaetssicherungsvereinbarung (QSV) in der jeweils gueltigen Fassung, IATF 16949, VDA 6.3 Auditregime sowie die Bestimmungen des Brennhagen Code of Conduct (Stand 2023). Reklamationen werden im 8D-Verfahren bearbeitet; Ziel-Reaktionszeit auf D3 &lt; 24 h, D8-Abschluss &lt; 30 Kalendertage.</w:t>
      </w:r>
    </w:p>
    <w:p>
      <w:pPr>
        <w:pStyle w:val="Heading3"/>
      </w:pPr>
      <w:r>
        <w:t>6. LkSG / Nachhaltigkeit</w:t>
      </w:r>
    </w:p>
    <w:p>
      <w:r>
        <w:t>Lieferant bestaetigt die Einhaltung der Sorgfaltspflichten gemaess deutschem Lieferkettengesetz (LkSG) sowie die jaehrliche Lieferanten-Selbstauskunft (SAQ ueber EcoVadis, Mindest-Score 65). Verpflichtung zur stufenweisen Umstellung auf erneuerbare Energie (Scope 1+2): 30 % bis 2025, 100 % bis 2030, kohaerent mit Brennhagen Carbon-Neutrality-Roadmap 2030.</w:t>
      </w:r>
    </w:p>
    <w:p>
      <w:pPr>
        <w:pStyle w:val="Heading3"/>
      </w:pPr>
      <w:r>
        <w:t>7. Vertraulichkeit, Haftung, Schlussbestimmungen</w:t>
      </w:r>
    </w:p>
    <w:p>
      <w:r>
        <w:t>NDA gemaess Standard-NDA Brennhagen in der Fassung vom 15.3.2022. Haftung gemaess Brennhagen-AEB Stand 1.1.2023 in Verbindung mit DIN 9000-Reihe. Gerichtsstand: Stuttgart, deutsches Recht unter Ausschluss UN-Kaufrecht (CISG). Sprachfassungen Deutsch und Englisch; im Konfliktfall geht die deutsche Fassung vor.</w:t>
      </w:r>
    </w:p>
    <w:p>
      <w:pPr>
        <w:pStyle w:val="Heading3"/>
      </w:pPr>
      <w:r>
        <w:t>Unterschriften</w:t>
      </w:r>
    </w:p>
    <w:p>
      <w:r>
        <w:t>Ort, Datum: Stuttgart, den Stuttgart, 18. Dezember 2022</w:t>
      </w:r>
    </w:p>
    <w:p>
      <w:r>
        <w:t>_________________________            _________________________</w:t>
        <w:br/>
        <w:t>Dr. Robert Walther                          Sig. Luca Marini</w:t>
        <w:br/>
        <w:t>Vorstand / CPO Operations                          Key Account Manager Automotive</w:t>
        <w:br/>
        <w:t>Brennhagen Elektronik AG                       STMicroelectronics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