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Lieferantenaudit VDA 6.3 - STMicroelectronics GmbH - Q2 2023</w:t>
      </w:r>
    </w:p>
    <w:p>
      <w:pPr>
        <w:jc w:val="center"/>
      </w:pPr>
      <w:r>
        <w:t>Audit-Nr. VDA63-2023-STM-Q2 - Process Audit Serienlieferung</w:t>
      </w:r>
    </w:p>
    <w:p/>
    <w:p>
      <w:pPr>
        <w:pStyle w:val="Heading3"/>
      </w:pPr>
      <w:r>
        <w:t>Audit-Stammdaten</w:t>
      </w:r>
    </w:p>
    <w:p>
      <w:r>
        <w:t>Lieferant:</w:t>
        <w:br/>
        <w:t>STMicroelectronics GmbH</w:t>
        <w:br/>
        <w:t>Bahnhofstrasse 18, 85609 Aschheim-Dornach</w:t>
        <w:br/>
        <w:t>Lieferanten-Nr. Brennhagen: REA-L-STM</w:t>
        <w:br/>
        <w:t>Kategorie / Warengruppe: STM32-MCU, MEMS-Sensoren (Druck/Inertial), SiC-Power-MOSFETs</w:t>
        <w:br/>
        <w:t>Ansprechpartner Lieferant: Sig. Luca Marini (EMEA Automotive Account Director)</w:t>
        <w:br/>
        <w:t>Qualitaetsverantwortlich Lieferant: Frau Isabella Conti</w:t>
      </w:r>
    </w:p>
    <w:p>
      <w:r>
        <w:t>Auftraggeberin:</w:t>
        <w:br/>
        <w:t>Brennhagen Elektronik AG, Vaihinger Straße 120, 70567 Stuttgart</w:t>
        <w:br/>
        <w:t>Strategischer Einkauf Halbleiter: Tobias Lange (Lead Buyer)</w:t>
        <w:br/>
        <w:t>Head of Direct Materials: Sabine Hartmann</w:t>
        <w:br/>
        <w:t>Supplier Quality: Andreas Kaufmann (Head of Supplier Quality, Personalunion Werk-Q REG)</w:t>
        <w:br/>
        <w:t>Risk Manager: Christine Berger (Supplier Risk)</w:t>
        <w:br/>
        <w:t>Vorstandsverantwortung: Dr. Robert Walther (CPO, Operations) - Berichtslinie an COO Dr. Thomas Weber</w:t>
      </w:r>
    </w:p>
    <w:p>
      <w:pPr>
        <w:pStyle w:val="Heading3"/>
      </w:pPr>
      <w:r>
        <w:t>Audit-Eckdaten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Audit-Nummer</w:t>
            </w:r>
          </w:p>
        </w:tc>
        <w:tc>
          <w:tcPr>
            <w:tcW w:type="dxa" w:w="4320"/>
          </w:tcPr>
          <w:p>
            <w:r>
              <w:t>VDA63-2023-STM-Q2</w:t>
            </w:r>
          </w:p>
        </w:tc>
      </w:tr>
      <w:tr>
        <w:tc>
          <w:tcPr>
            <w:tcW w:type="dxa" w:w="4320"/>
          </w:tcPr>
          <w:p>
            <w:r>
              <w:t>Auditierte Organisation</w:t>
            </w:r>
          </w:p>
        </w:tc>
        <w:tc>
          <w:tcPr>
            <w:tcW w:type="dxa" w:w="4320"/>
          </w:tcPr>
          <w:p>
            <w:r>
              <w:t>STMicroelectronics GmbH</w:t>
            </w:r>
          </w:p>
        </w:tc>
      </w:tr>
      <w:tr>
        <w:tc>
          <w:tcPr>
            <w:tcW w:type="dxa" w:w="4320"/>
          </w:tcPr>
          <w:p>
            <w:r>
              <w:t>Auditort</w:t>
            </w:r>
          </w:p>
        </w:tc>
        <w:tc>
          <w:tcPr>
            <w:tcW w:type="dxa" w:w="4320"/>
          </w:tcPr>
          <w:p>
            <w:r>
              <w:t>Bahnhofstrasse 18, 85609 Aschheim-Dornach</w:t>
            </w:r>
          </w:p>
        </w:tc>
      </w:tr>
      <w:tr>
        <w:tc>
          <w:tcPr>
            <w:tcW w:type="dxa" w:w="4320"/>
          </w:tcPr>
          <w:p>
            <w:r>
              <w:t>Audit-Zeitraum</w:t>
            </w:r>
          </w:p>
        </w:tc>
        <w:tc>
          <w:tcPr>
            <w:tcW w:type="dxa" w:w="4320"/>
          </w:tcPr>
          <w:p>
            <w:r>
              <w:t>14.-16. Mai 2023</w:t>
            </w:r>
          </w:p>
        </w:tc>
      </w:tr>
      <w:tr>
        <w:tc>
          <w:tcPr>
            <w:tcW w:type="dxa" w:w="4320"/>
          </w:tcPr>
          <w:p>
            <w:r>
              <w:t>Audit-Norm</w:t>
            </w:r>
          </w:p>
        </w:tc>
        <w:tc>
          <w:tcPr>
            <w:tcW w:type="dxa" w:w="4320"/>
          </w:tcPr>
          <w:p>
            <w:r>
              <w:t>VDA 6.3 (3. Ausgabe, Juli 2016) - Process Audit Serie</w:t>
            </w:r>
          </w:p>
        </w:tc>
      </w:tr>
      <w:tr>
        <w:tc>
          <w:tcPr>
            <w:tcW w:type="dxa" w:w="4320"/>
          </w:tcPr>
          <w:p>
            <w:r>
              <w:t>Audit-Typ</w:t>
            </w:r>
          </w:p>
        </w:tc>
        <w:tc>
          <w:tcPr>
            <w:tcW w:type="dxa" w:w="4320"/>
          </w:tcPr>
          <w:p>
            <w:r>
              <w:t>Geplantes Wiederholungsaudit (Tier-1 Lieferant Auto-Elektronik)</w:t>
            </w:r>
          </w:p>
        </w:tc>
      </w:tr>
      <w:tr>
        <w:tc>
          <w:tcPr>
            <w:tcW w:type="dxa" w:w="4320"/>
          </w:tcPr>
          <w:p>
            <w:r>
              <w:t>Lead-Auditor (Brennhagen)</w:t>
            </w:r>
          </w:p>
        </w:tc>
        <w:tc>
          <w:tcPr>
            <w:tcW w:type="dxa" w:w="4320"/>
          </w:tcPr>
          <w:p>
            <w:r>
              <w:t>Andreas Kaufmann (Head of Supplier Quality, VDA 6.3 zertifiziert)</w:t>
            </w:r>
          </w:p>
        </w:tc>
      </w:tr>
      <w:tr>
        <w:tc>
          <w:tcPr>
            <w:tcW w:type="dxa" w:w="4320"/>
          </w:tcPr>
          <w:p>
            <w:r>
              <w:t>Co-Auditor</w:t>
            </w:r>
          </w:p>
        </w:tc>
        <w:tc>
          <w:tcPr>
            <w:tcW w:type="dxa" w:w="4320"/>
          </w:tcPr>
          <w:p>
            <w:r>
              <w:t>Christine Berger (Supplier Risk Manager)</w:t>
            </w:r>
          </w:p>
        </w:tc>
      </w:tr>
      <w:tr>
        <w:tc>
          <w:tcPr>
            <w:tcW w:type="dxa" w:w="4320"/>
          </w:tcPr>
          <w:p>
            <w:r>
              <w:t>Audit-Sprache</w:t>
            </w:r>
          </w:p>
        </w:tc>
        <w:tc>
          <w:tcPr>
            <w:tcW w:type="dxa" w:w="4320"/>
          </w:tcPr>
          <w:p>
            <w:r>
              <w:t>Deutsch / Englisch</w:t>
            </w:r>
          </w:p>
        </w:tc>
      </w:tr>
      <w:tr>
        <w:tc>
          <w:tcPr>
            <w:tcW w:type="dxa" w:w="4320"/>
          </w:tcPr>
          <w:p>
            <w:r>
              <w:t>Audit-Score</w:t>
            </w:r>
          </w:p>
        </w:tc>
        <w:tc>
          <w:tcPr>
            <w:tcW w:type="dxa" w:w="4320"/>
          </w:tcPr>
          <w:p>
            <w:r>
              <w:t>88 von 100 Punkten - Einstufung Stufe AB</w:t>
            </w:r>
          </w:p>
        </w:tc>
      </w:tr>
    </w:tbl>
    <w:p>
      <w:pPr>
        <w:pStyle w:val="Heading3"/>
      </w:pPr>
      <w:r>
        <w:t>Bewertete Prozessgruppen (VDA 6.3 P2-P7)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Prozess</w:t>
            </w:r>
          </w:p>
        </w:tc>
        <w:tc>
          <w:tcPr>
            <w:tcW w:type="dxa" w:w="2160"/>
          </w:tcPr>
          <w:p>
            <w:r>
              <w:t>Pmax</w:t>
            </w:r>
          </w:p>
        </w:tc>
        <w:tc>
          <w:tcPr>
            <w:tcW w:type="dxa" w:w="2160"/>
          </w:tcPr>
          <w:p>
            <w:r>
              <w:t>Punkte</w:t>
            </w:r>
          </w:p>
        </w:tc>
        <w:tc>
          <w:tcPr>
            <w:tcW w:type="dxa" w:w="2160"/>
          </w:tcPr>
          <w:p>
            <w:r>
              <w:t>EG (Erfuellungsgrad)</w:t>
            </w:r>
          </w:p>
        </w:tc>
      </w:tr>
      <w:tr>
        <w:tc>
          <w:tcPr>
            <w:tcW w:type="dxa" w:w="2160"/>
          </w:tcPr>
          <w:p>
            <w:r>
              <w:t>P2 - Projektmanagement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86</w:t>
            </w:r>
          </w:p>
        </w:tc>
        <w:tc>
          <w:tcPr>
            <w:tcW w:type="dxa" w:w="2160"/>
          </w:tcPr>
          <w:p>
            <w:r>
              <w:t>86%</w:t>
            </w:r>
          </w:p>
        </w:tc>
      </w:tr>
      <w:tr>
        <w:tc>
          <w:tcPr>
            <w:tcW w:type="dxa" w:w="2160"/>
          </w:tcPr>
          <w:p>
            <w:r>
              <w:t>P3 - Planung Produktentwicklung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87</w:t>
            </w:r>
          </w:p>
        </w:tc>
        <w:tc>
          <w:tcPr>
            <w:tcW w:type="dxa" w:w="2160"/>
          </w:tcPr>
          <w:p>
            <w:r>
              <w:t>87%</w:t>
            </w:r>
          </w:p>
        </w:tc>
      </w:tr>
      <w:tr>
        <w:tc>
          <w:tcPr>
            <w:tcW w:type="dxa" w:w="2160"/>
          </w:tcPr>
          <w:p>
            <w:r>
              <w:t>P4 - Realisierung Produktentwicklung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88</w:t>
            </w:r>
          </w:p>
        </w:tc>
        <w:tc>
          <w:tcPr>
            <w:tcW w:type="dxa" w:w="2160"/>
          </w:tcPr>
          <w:p>
            <w:r>
              <w:t>88%</w:t>
            </w:r>
          </w:p>
        </w:tc>
      </w:tr>
      <w:tr>
        <w:tc>
          <w:tcPr>
            <w:tcW w:type="dxa" w:w="2160"/>
          </w:tcPr>
          <w:p>
            <w:r>
              <w:t>P5 - Lieferantenmanagement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85</w:t>
            </w:r>
          </w:p>
        </w:tc>
        <w:tc>
          <w:tcPr>
            <w:tcW w:type="dxa" w:w="2160"/>
          </w:tcPr>
          <w:p>
            <w:r>
              <w:t>85%</w:t>
            </w:r>
          </w:p>
        </w:tc>
      </w:tr>
      <w:tr>
        <w:tc>
          <w:tcPr>
            <w:tcW w:type="dxa" w:w="2160"/>
          </w:tcPr>
          <w:p>
            <w:r>
              <w:t>P6 - Prozessanalyse Produktion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89</w:t>
            </w:r>
          </w:p>
        </w:tc>
        <w:tc>
          <w:tcPr>
            <w:tcW w:type="dxa" w:w="2160"/>
          </w:tcPr>
          <w:p>
            <w:r>
              <w:t>89%</w:t>
            </w:r>
          </w:p>
        </w:tc>
      </w:tr>
      <w:tr>
        <w:tc>
          <w:tcPr>
            <w:tcW w:type="dxa" w:w="2160"/>
          </w:tcPr>
          <w:p>
            <w:r>
              <w:t>P7 - Kundenbetreuung / Reklamation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86</w:t>
            </w:r>
          </w:p>
        </w:tc>
        <w:tc>
          <w:tcPr>
            <w:tcW w:type="dxa" w:w="2160"/>
          </w:tcPr>
          <w:p>
            <w:r>
              <w:t>86%</w:t>
            </w:r>
          </w:p>
        </w:tc>
      </w:tr>
    </w:tbl>
    <w:p>
      <w:pPr>
        <w:pStyle w:val="Heading3"/>
      </w:pPr>
      <w:r>
        <w:t>Wesentliche Feststellungen</w:t>
      </w:r>
    </w:p>
    <w:p>
      <w:pPr>
        <w:pStyle w:val="ListBullet"/>
      </w:pPr>
      <w:r>
        <w:t>Auditierter Standort fuer Lieferungen an Brennhagen: Bahnhofstrasse 18, 85609 Aschheim-Dornach (Fertigung Wafer/Backend) sowie Hub Logistikzentrum Deutschland.</w:t>
      </w:r>
    </w:p>
    <w:p>
      <w:pPr>
        <w:pStyle w:val="ListBullet"/>
      </w:pPr>
      <w:r>
        <w:t>Kritikalitaetsstufe in der Brennhagen-Lieferantenbewertung: B (zweitquelle MCU; einzige Quelle MEMS-Drucksensor BMS-12).</w:t>
      </w:r>
    </w:p>
    <w:p>
      <w:pPr>
        <w:pStyle w:val="ListBullet"/>
      </w:pPr>
      <w:r>
        <w:t>Warengruppen-Volumen p.a. (Konzernebene 2023, Ist): rd. 48 Mio. EUR (20 % der Halbleiter-Direktbeschaffung).</w:t>
      </w:r>
    </w:p>
    <w:p>
      <w:pPr>
        <w:pStyle w:val="ListBullet"/>
      </w:pPr>
      <w:r>
        <w:t>Keine kritischen K.O.-Fragen ausgeloest; keine Major Non-Conformities.</w:t>
      </w:r>
    </w:p>
    <w:p>
      <w:pPr>
        <w:pStyle w:val="ListBullet"/>
      </w:pPr>
      <w:r>
        <w:t>Minor Findings: 2 Beobachtungen zur PPAP-Dokumentationstiefe (PSW-Revisionshistorie unvollstaendig), 1 Hinweis zur Frequenz der internen Capability-Studien (Cpk-Trend monatlich statt quartalsweise).</w:t>
      </w:r>
    </w:p>
    <w:p>
      <w:pPr>
        <w:pStyle w:val="ListBullet"/>
      </w:pPr>
      <w:r>
        <w:t>Lieferant verfuegt ueber gueltige IATF 16949 Zertifizierung (rezertifiziert in 2023), ISO 14001 sowie ISO 27001; Pruefurkunden liegen vor.</w:t>
      </w:r>
    </w:p>
    <w:p>
      <w:pPr>
        <w:pStyle w:val="ListBullet"/>
      </w:pPr>
      <w:r>
        <w:t>BCM-Plan (Business Continuity) wurde vorgelegt; Alternativ-Fab-Out fuer A-Teile dokumentiert.</w:t>
      </w:r>
    </w:p>
    <w:p>
      <w:pPr>
        <w:pStyle w:val="Heading3"/>
      </w:pPr>
      <w:r>
        <w:t>Massnahmen und Wiedervorlage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Massnahme</w:t>
            </w:r>
          </w:p>
        </w:tc>
        <w:tc>
          <w:tcPr>
            <w:tcW w:type="dxa" w:w="2880"/>
          </w:tcPr>
          <w:p>
            <w:r>
              <w:t>Verantwortlich</w:t>
            </w:r>
          </w:p>
        </w:tc>
        <w:tc>
          <w:tcPr>
            <w:tcW w:type="dxa" w:w="2880"/>
          </w:tcPr>
          <w:p>
            <w:r>
              <w:t>Termin</w:t>
            </w:r>
          </w:p>
        </w:tc>
      </w:tr>
      <w:tr>
        <w:tc>
          <w:tcPr>
            <w:tcW w:type="dxa" w:w="2880"/>
          </w:tcPr>
          <w:p>
            <w:r>
              <w:t>Nachreichung PPAP-Revisionsnachweise (PSW Level 3) fuer drei A-Teile</w:t>
            </w:r>
          </w:p>
        </w:tc>
        <w:tc>
          <w:tcPr>
            <w:tcW w:type="dxa" w:w="2880"/>
          </w:tcPr>
          <w:p>
            <w:r>
              <w:t>Frau Isabella Conti (Lieferant)</w:t>
            </w:r>
          </w:p>
        </w:tc>
        <w:tc>
          <w:tcPr>
            <w:tcW w:type="dxa" w:w="2880"/>
          </w:tcPr>
          <w:p>
            <w:r>
              <w:t>30 Tage nach Auditbericht</w:t>
            </w:r>
          </w:p>
        </w:tc>
      </w:tr>
      <w:tr>
        <w:tc>
          <w:tcPr>
            <w:tcW w:type="dxa" w:w="2880"/>
          </w:tcPr>
          <w:p>
            <w:r>
              <w:t>Einfuehrung monatlicher Cpk-Trend-Report im Lieferanten-Portal SupplyOn</w:t>
            </w:r>
          </w:p>
        </w:tc>
        <w:tc>
          <w:tcPr>
            <w:tcW w:type="dxa" w:w="2880"/>
          </w:tcPr>
          <w:p>
            <w:r>
              <w:t>Frau Isabella Conti (Lieferant) / Andreas Kaufmann (Brennhagen)</w:t>
            </w:r>
          </w:p>
        </w:tc>
        <w:tc>
          <w:tcPr>
            <w:tcW w:type="dxa" w:w="2880"/>
          </w:tcPr>
          <w:p>
            <w:r>
              <w:t>60 Tage</w:t>
            </w:r>
          </w:p>
        </w:tc>
      </w:tr>
      <w:tr>
        <w:tc>
          <w:tcPr>
            <w:tcW w:type="dxa" w:w="2880"/>
          </w:tcPr>
          <w:p>
            <w:r>
              <w:t>Wiedervorlage / Follow-up Desk-Audit (remote)</w:t>
            </w:r>
          </w:p>
        </w:tc>
        <w:tc>
          <w:tcPr>
            <w:tcW w:type="dxa" w:w="2880"/>
          </w:tcPr>
          <w:p>
            <w:r>
              <w:t>Christine Berger (Brennhagen)</w:t>
            </w:r>
          </w:p>
        </w:tc>
        <w:tc>
          <w:tcPr>
            <w:tcW w:type="dxa" w:w="2880"/>
          </w:tcPr>
          <w:p>
            <w:r>
              <w:t>90 Tage</w:t>
            </w:r>
          </w:p>
        </w:tc>
      </w:tr>
    </w:tbl>
    <w:p>
      <w:pPr>
        <w:pStyle w:val="Heading3"/>
      </w:pPr>
      <w:r>
        <w:t>Audit-Ergebnis / Freigabe</w:t>
      </w:r>
    </w:p>
    <w:p>
      <w:r>
        <w:t>Der auditierte Standort wird in Stufe AB eingestuft und behaelt den Status »freigegebener Serienlieferant« mit Auflagen wie oben aufgelistet. Naechstes Regelaudit: 4. Quartal des Folgejahres. Bei Eintritt einer Lieferengpass-Eskalation oder einer 8D-Eskalationsstufe &gt;= 2 erfolgt ein anlassbezogenes Sonderaudit ausserhalb des Regelplans.</w:t>
      </w:r>
    </w:p>
    <w:p>
      <w:pPr>
        <w:pStyle w:val="Heading3"/>
      </w:pPr>
      <w:r>
        <w:t>Verteiler</w:t>
      </w:r>
    </w:p>
    <w:p>
      <w:pPr>
        <w:pStyle w:val="ListBullet"/>
      </w:pPr>
      <w:r>
        <w:t>Dr. Robert Walther (CPO, Vorstand Operations)</w:t>
      </w:r>
    </w:p>
    <w:p>
      <w:pPr>
        <w:pStyle w:val="ListBullet"/>
      </w:pPr>
      <w:r>
        <w:t>Sabine Hartmann (Head of Direct Materials)</w:t>
      </w:r>
    </w:p>
    <w:p>
      <w:pPr>
        <w:pStyle w:val="ListBullet"/>
      </w:pPr>
      <w:r>
        <w:t>Tobias Lange (Strategischer Einkauf Halbleiter)</w:t>
      </w:r>
    </w:p>
    <w:p>
      <w:pPr>
        <w:pStyle w:val="ListBullet"/>
      </w:pPr>
      <w:r>
        <w:t>Andreas Kaufmann (Head of Supplier Quality)</w:t>
      </w:r>
    </w:p>
    <w:p>
      <w:pPr>
        <w:pStyle w:val="ListBullet"/>
      </w:pPr>
      <w:r>
        <w:t>Christine Berger (Supplier Risk Manager)</w:t>
      </w:r>
    </w:p>
    <w:p>
      <w:pPr>
        <w:pStyle w:val="ListBullet"/>
      </w:pPr>
      <w:r>
        <w:t>Lieferant: Sig. Luca Marini (EMEA Automotive Account Director), Frau Isabella Conti</w:t>
      </w:r>
    </w:p>
    <w:p>
      <w:pPr>
        <w:pStyle w:val="Heading3"/>
      </w:pPr>
      <w:r>
        <w:t>Unterschriften</w:t>
      </w:r>
    </w:p>
    <w:p>
      <w:r>
        <w:t>Ort, Datum: Stuttgart, den Stuttgart / Audit-Ort, 16. Mai 2023</w:t>
      </w:r>
    </w:p>
    <w:p>
      <w:r>
        <w:t>_________________________            _________________________</w:t>
        <w:br/>
        <w:t>Andreas Kaufmann                          Frau Isabella Conti</w:t>
        <w:br/>
        <w:t>Head of Supplier Quality / Lead-Auditor                          Qualitaetsleitung</w:t>
        <w:br/>
        <w:t>Brennhagen Elektronik AG                       STMicroelectronics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