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REACH- und RoHS-Konformitaetserklaerung - STMicroelectronics GmbH - 2023</w:t>
      </w:r>
    </w:p>
    <w:p>
      <w:pPr>
        <w:jc w:val="center"/>
      </w:pPr>
      <w:r>
        <w:t>Erklaerung gemaess VO (EG) Nr. 1907/2006 (REACH) und Richtlinie 2011/65/EU (RoHS 3)</w:t>
      </w:r>
    </w:p>
    <w:p/>
    <w:p>
      <w:pPr>
        <w:pStyle w:val="Heading3"/>
      </w:pPr>
      <w:r>
        <w:t>Erklaerende</w:t>
      </w:r>
    </w:p>
    <w:p>
      <w:r>
        <w:t>STMicroelectronics GmbH</w:t>
        <w:br/>
        <w:t>Bahnhofstrasse 18, 85609 Aschheim-Dornach</w:t>
        <w:br/>
        <w:t>Lieferanten-Nr. Brennhagen: REA-L-STM</w:t>
        <w:br/>
        <w:t>Verantwortliche Person Lieferant: Frau Isabella Conti</w:t>
        <w:br/>
        <w:t>Gegenstand der Erklaerung: alle an Brennhagen Elektronik AG gelieferten Komponenten der Warengruppe »STM32-MCU, MEMS-Sensoren (Druck/Inertial), SiC-Power-MOSFETs«, Bezugsjahr 2023.</w:t>
      </w:r>
    </w:p>
    <w:p>
      <w:pPr>
        <w:pStyle w:val="Heading3"/>
      </w:pPr>
      <w:r>
        <w:t>REACH-Erklaerung</w:t>
      </w:r>
    </w:p>
    <w:p>
      <w:r>
        <w:t>Hiermit bestaetigt STMicroelectronics GmbH verbindlich, dass alle an Brennhagen gelieferten Komponenten die Anforderungen der Verordnung (EG) Nr. 1907/2006 (REACH) in der derzeit gueltigen Fassung erfuellen. Die Kandidatenliste der besonders besorgniserregenden Stoffe (SVHC) wurde mit Stand per 1.7.2023 (235 Eintraege) abgeglichen. SVHC-Stoffe oberhalb der Schwellenwerte 0,1 Gew.-% sind nicht in den gelieferten Artikeln enthalten bzw. werden im SCIP-Eintrag (ECHA) gefuehrt und Brennhagen vorab schriftlich angezeigt.</w:t>
      </w:r>
    </w:p>
    <w:p>
      <w:pPr>
        <w:pStyle w:val="Heading3"/>
      </w:pPr>
      <w:r>
        <w:t>RoHS-Erklaerung</w:t>
      </w:r>
    </w:p>
    <w:p>
      <w:r>
        <w:t>Saemtliche an Brennhagen gelieferten Komponenten sind konform zur Richtlinie 2011/65/EU (RoHS) einschliesslich Erweiterung 2015/863 (RoHS 3 - vier Phthalate). Die Grenzwerte fuer Blei (0,1 %), Quecksilber (0,1 %), Cadmium (0,01 %), Chrom VI (0,1 %), PBB (0,1 %), PBDE (0,1 %), DEHP (0,1 %), BBP (0,1 %), DBP (0,1 %), DIBP (0,1 %) werden eingehalten. Etwaige Ausnahmen gemaess Anhang III/IV der Richtlinie sind in der Datenblatt-Sammlung (IPC-1752A Class D Brennhagen-Format) im Detail aufgefuehrt.</w:t>
      </w:r>
    </w:p>
    <w:p>
      <w:pPr>
        <w:pStyle w:val="Heading3"/>
      </w:pPr>
      <w:r>
        <w:t>Weitere stoffliche Konformitaeten</w:t>
      </w:r>
    </w:p>
    <w:p>
      <w:pPr>
        <w:pStyle w:val="ListBullet"/>
      </w:pPr>
      <w:r>
        <w:t>Konfliktmineralien: Konformitaetsbestaetigung gemaess EU-VO 2017/821 und RMI/RBA Conflict Minerals Reporting Template (CMRT 6.31), eingereicht 15.5.2023.</w:t>
      </w:r>
    </w:p>
    <w:p>
      <w:pPr>
        <w:pStyle w:val="ListBullet"/>
      </w:pPr>
      <w:r>
        <w:t>POP-Verordnung (EU) 2019/1021: keine Persistent Organic Pollutants oberhalb Grenzwert.</w:t>
      </w:r>
    </w:p>
    <w:p>
      <w:pPr>
        <w:pStyle w:val="ListBullet"/>
      </w:pPr>
      <w:r>
        <w:t>China RoHS 2 (GB/T 26572): erweiterte Kennzeichnung erfolgt fuer Lieferungen an RCN Shanghai.</w:t>
      </w:r>
    </w:p>
    <w:p>
      <w:pPr>
        <w:pStyle w:val="ListBullet"/>
      </w:pPr>
      <w:r>
        <w:t>California Proposition 65: Warnhinweise bei Bedarf, eigene Auflistung Anhang B.</w:t>
      </w:r>
    </w:p>
    <w:p>
      <w:pPr>
        <w:pStyle w:val="ListBullet"/>
      </w:pPr>
      <w:r>
        <w:t>Halogen-frei (IEC 61249-2-21): bestaetigt fuer alle Gehaeuse und Vergussmaterialien.</w:t>
      </w:r>
    </w:p>
    <w:p>
      <w:pPr>
        <w:pStyle w:val="Heading3"/>
      </w:pPr>
      <w:r>
        <w:t>Aenderungsmanagement</w:t>
      </w:r>
    </w:p>
    <w:p>
      <w:r>
        <w:t>Bei Aenderungen an Material- oder Prozesszusammensetzung wird Brennhagen (Andreas Kaufmann, Head of Supplier Quality) mindestens 90 Kalendertage vor Implementierung schriftlich informiert. Die Anzeige- und Genehmigungspflicht (PCN/PDN-Prozess) ist Bestandteil der Qualitaetssicherungsvereinbarung (QSV).</w:t>
      </w:r>
    </w:p>
    <w:p>
      <w:pPr>
        <w:pStyle w:val="Heading3"/>
      </w:pPr>
      <w:r>
        <w:t>Gueltigkeit</w:t>
      </w:r>
    </w:p>
    <w:p>
      <w:r>
        <w:t>Diese Erklaerung gilt fuer das Kalenderjahr 2023 und wird bis spaetestens 31.1.2024 jaehrlich erneuert. Bei wesentlichen regulatorischen Aenderungen erfolgt ad-hoc-Update.</w:t>
      </w:r>
    </w:p>
    <w:p>
      <w:pPr>
        <w:pStyle w:val="Heading3"/>
      </w:pPr>
      <w:r>
        <w:t>Unterschrift Lieferant</w:t>
      </w:r>
    </w:p>
    <w:p>
      <w:r>
        <w:t>Ort, Datum: Stuttgart, den Werk Lieferant / Stuttgart, 24. Januar 2023</w:t>
      </w:r>
    </w:p>
    <w:p>
      <w:r>
        <w:t>_________________________            _________________________</w:t>
        <w:br/>
        <w:t>Frau Isabella Conti                          Andreas Kaufmann</w:t>
        <w:br/>
        <w:t>Qualitaetsverantwortliche / REACH-Beauftragte                          Head of Supplier Quality</w:t>
        <w:br/>
        <w:t>STMicroelectronics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