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Rahmenliefervertrag - Wuerth Industrie Service GmbH &amp; Co. KG - C-Teile / Verbindungselemente (CPS-Kanban)</w:t>
      </w:r>
    </w:p>
    <w:p>
      <w:pPr>
        <w:jc w:val="center"/>
      </w:pPr>
      <w:r>
        <w:t>Konzernweiter Rahmenvertrag 2022-2024</w:t>
      </w:r>
    </w:p>
    <w:p/>
    <w:p>
      <w:pPr>
        <w:pStyle w:val="Heading3"/>
      </w:pPr>
      <w:r>
        <w:t>Vertragsparteien</w:t>
      </w:r>
    </w:p>
    <w:p>
      <w:r>
        <w:t>Auftraggeberin:</w:t>
        <w:br/>
        <w:t>Brennhagen Elektronik AG, Vaihinger Straße 120, 70567 Stuttgart, vertreten durch Dr. Robert Walther (Vorstand / CPO Operations) und Frank Wendel (Head of Indirect / MRO).</w:t>
      </w:r>
    </w:p>
    <w:p>
      <w:r>
        <w:t>Lieferant:</w:t>
        <w:br/>
        <w:t>Wuerth Industrie Service GmbH &amp; Co. KG, Drillberg, 97980 Bad Mergentheim, vertreten durch Frau Andrea Schmitt (Key Account Manager).</w:t>
      </w:r>
    </w:p>
    <w:p>
      <w:r>
        <w:t>Warengruppe: Verbindungselemente / C-Teile (Schrauben, Muttern, Kleinteile, Kanban-Belieferung)</w:t>
        <w:br/>
        <w:t>Geschaetztes Jahresvolumen Konzern (Mio. EUR): 5.7</w:t>
        <w:br/>
        <w:t>Kritikalitaetsstufe Brennhagen: C (vollintegrierte Kanban-Belieferung Werk Heilbronn / Katowice)</w:t>
        <w:br/>
        <w:t>Geltungsbereich: alle Brennhagen-Konzerngesellschaften (REG Heilbronn, RSG Muenchen, RPL Katowice, RCZ Brno, RHU Gyoer; RCN Shanghai nur fuer Re-Export-Faelle).</w:t>
      </w:r>
    </w:p>
    <w:p>
      <w:pPr>
        <w:pStyle w:val="Heading3"/>
      </w:pPr>
      <w:r>
        <w:t>Vertragsklauseln</w:t>
      </w:r>
    </w:p>
    <w:p>
      <w:pPr>
        <w:pStyle w:val="Heading4"/>
      </w:pPr>
      <w:r>
        <w:t>§ 1 Vertragsgegenstand und Geltung</w:t>
      </w:r>
    </w:p>
    <w:p>
      <w:r>
        <w:rPr>
          <w:b/>
        </w:rPr>
        <w:t xml:space="preserve">(1) </w:t>
      </w:r>
      <w:r>
        <w:t>Der Lieferant liefert Brennhagen die in Anlage 1 katalogisierten Artikel der Warengruppe »C-Teile / Verbindungselemente (CPS-Kanban)«. Einzelbestellungen erfolgen ueber das Brennhagen-eProcurement-System (SAP Ariba / Coupa) auf Basis dieses Rahmenvertrages.</w:t>
      </w:r>
    </w:p>
    <w:p>
      <w:r>
        <w:rPr>
          <w:b/>
        </w:rPr>
        <w:t xml:space="preserve">(2) </w:t>
      </w:r>
      <w:r>
        <w:t>Dieser Vertrag ist nicht-exklusiv. Brennhagen behaelt sich Dual-/Multi-Sourcing vor. Mindestabnahmemengen werden nicht zugesichert; Plan-Volumina dienen Forecast-Zwecken.</w:t>
      </w:r>
    </w:p>
    <w:p>
      <w:r>
        <w:rPr>
          <w:b/>
        </w:rPr>
        <w:t xml:space="preserve">(3) </w:t>
      </w:r>
      <w:r>
        <w:t>Vertragslaufzeit: 1.1.2022 - 31.12.2024 mit Verlaengerungsoption um jeweils 12 Monate bei beidseitiger Erklaerung 6 Monate vor Vertragsende.</w:t>
      </w:r>
    </w:p>
    <w:p>
      <w:pPr>
        <w:pStyle w:val="Heading4"/>
      </w:pPr>
      <w:r>
        <w:t>§ 2 Konditionen und Preise</w:t>
      </w:r>
    </w:p>
    <w:p>
      <w:r>
        <w:rPr>
          <w:b/>
        </w:rPr>
        <w:t xml:space="preserve">(1) </w:t>
      </w:r>
      <w:r>
        <w:t>Preisstellung gemaess Preisliste Anhang 2 (DDP Werk Heilbronn, Incoterms 2020).</w:t>
      </w:r>
    </w:p>
    <w:p>
      <w:r>
        <w:rPr>
          <w:b/>
        </w:rPr>
        <w:t xml:space="preserve">(2) </w:t>
      </w:r>
      <w:r>
        <w:t>Preisbindung 12 Monate; jaehrliche Preisverhandlung im Q4 (Jahrespreisverhandlung).</w:t>
      </w:r>
    </w:p>
    <w:p>
      <w:r>
        <w:rPr>
          <w:b/>
        </w:rPr>
        <w:t xml:space="preserve">(3) </w:t>
      </w:r>
      <w:r>
        <w:t>Zahlungsziel: 60 Tage netto ab Rechnungseingang; 2 % Skonto bei Zahlung binnen 14 Tagen.</w:t>
      </w:r>
    </w:p>
    <w:p>
      <w:r>
        <w:rPr>
          <w:b/>
        </w:rPr>
        <w:t xml:space="preserve">(4) </w:t>
      </w:r>
      <w:r>
        <w:t>Mengenrabattstaffel gemaess Anhang 2; Bonus-Regelung 1,0 % bei Erreichen Konzernvolumen &gt;= 110 %.</w:t>
      </w:r>
    </w:p>
    <w:p>
      <w:pPr>
        <w:pStyle w:val="Heading4"/>
      </w:pPr>
      <w:r>
        <w:t>§ 3 Logistik und Lieferung</w:t>
      </w:r>
    </w:p>
    <w:p>
      <w:r>
        <w:rPr>
          <w:b/>
        </w:rPr>
        <w:t xml:space="preserve">(1) </w:t>
      </w:r>
      <w:r>
        <w:t>Standard-Lieferzeiten: Lagerware 48 h, Sonderbeschaffung 10 Arbeitstage.</w:t>
      </w:r>
    </w:p>
    <w:p>
      <w:r>
        <w:rPr>
          <w:b/>
        </w:rPr>
        <w:t xml:space="preserve">(2) </w:t>
      </w:r>
      <w:r>
        <w:t>Lieferort: SAP-Werks-Adressen REG/RPL/RCZ/RHU; Konsignations-/Kanban-Modell fuer C-Teile (insbesondere CPS-Kanban WUE und MRO-Schrank RSC).</w:t>
      </w:r>
    </w:p>
    <w:p>
      <w:r>
        <w:rPr>
          <w:b/>
        </w:rPr>
        <w:t xml:space="preserve">(3) </w:t>
      </w:r>
      <w:r>
        <w:t>Versandkostenpauschale: frei Haus ab Bestellwert 250 EUR; darunter 9,50 EUR Pauschale.</w:t>
      </w:r>
    </w:p>
    <w:p>
      <w:r>
        <w:rPr>
          <w:b/>
        </w:rPr>
        <w:t xml:space="preserve">(4) </w:t>
      </w:r>
      <w:r>
        <w:t>OTD-Ziel: &gt;= 98 %; Reporting monatlich an Frank Wendel (Brennhagen).</w:t>
      </w:r>
    </w:p>
    <w:p>
      <w:pPr>
        <w:pStyle w:val="Heading4"/>
      </w:pPr>
      <w:r>
        <w:t>§ 4 Qualitaet und Reklamation</w:t>
      </w:r>
    </w:p>
    <w:p>
      <w:r>
        <w:rPr>
          <w:b/>
        </w:rPr>
        <w:t xml:space="preserve">(1) </w:t>
      </w:r>
      <w:r>
        <w:t>RoHS-/REACH-Konformitaet ist Liefervoraussetzung; jaehrliche Konformitaetserklaerung.</w:t>
      </w:r>
    </w:p>
    <w:p>
      <w:r>
        <w:rPr>
          <w:b/>
        </w:rPr>
        <w:t xml:space="preserve">(2) </w:t>
      </w:r>
      <w:r>
        <w:t>Reklamationen werden ueber das Brennhagen Q-Portal (SupplyOn) abgewickelt.</w:t>
      </w:r>
    </w:p>
    <w:p>
      <w:r>
        <w:rPr>
          <w:b/>
        </w:rPr>
        <w:t xml:space="preserve">(3) </w:t>
      </w:r>
      <w:r>
        <w:t>8D-Pflicht ab Stufe 2-Reklamation (kunden- oder serienkritische Faelle).</w:t>
      </w:r>
    </w:p>
    <w:p>
      <w:pPr>
        <w:pStyle w:val="Heading4"/>
      </w:pPr>
      <w:r>
        <w:t>§ 5 LkSG, Nachhaltigkeit, Schlussbestimmungen</w:t>
      </w:r>
    </w:p>
    <w:p>
      <w:r>
        <w:rPr>
          <w:b/>
        </w:rPr>
        <w:t xml:space="preserve">(1) </w:t>
      </w:r>
      <w:r>
        <w:t>Lieferant verpflichtet sich zur Einhaltung des Brennhagen Code of Conduct (Stand 2022) sowie der Sorgfaltspflichten gemaess deutschem LkSG. Jaehrliche SAQ ueber EcoVadis.</w:t>
      </w:r>
    </w:p>
    <w:p>
      <w:r>
        <w:rPr>
          <w:b/>
        </w:rPr>
        <w:t xml:space="preserve">(2) </w:t>
      </w:r>
      <w:r>
        <w:t>Es gelten die AEB Brennhagen Stand 1.1.2022. Gerichtsstand Stuttgart, deutsches Recht unter Ausschluss UN-Kaufrecht.</w:t>
      </w:r>
    </w:p>
    <w:p>
      <w:pPr>
        <w:pStyle w:val="Heading3"/>
      </w:pPr>
      <w:r>
        <w:t>Unterschriften</w:t>
      </w:r>
    </w:p>
    <w:p>
      <w:r>
        <w:t>Ort, Datum: Stuttgart, den Stuttgart, 11. November 2021</w:t>
      </w:r>
    </w:p>
    <w:p>
      <w:r>
        <w:t>_________________________            _________________________</w:t>
        <w:br/>
        <w:t>Frank Wendel                          Frau Andrea Schmitt</w:t>
        <w:br/>
        <w:t>Head of Indirect / MRO                          Key Account Manager</w:t>
        <w:br/>
        <w:t>Brennhagen Elektronik AG                       Wuerth Industrie Service GmbH &amp; Co. KG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