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Zollabfertigungsnachweis - Import - Maerz 2023</w:t>
      </w:r>
    </w:p>
    <w:p>
      <w:pPr>
        <w:jc w:val="center"/>
      </w:pPr>
      <w:r>
        <w:t>Sammelnachweis ATLAS-Einfuhranmeldungen, Hauptzollamt Stuttgart - Nr. REA-ZOLL-2023-03</w:t>
      </w:r>
    </w:p>
    <w:p/>
    <w:p>
      <w:pPr>
        <w:pStyle w:val="Heading3"/>
      </w:pPr>
      <w:r>
        <w:t>Abfertigungsdaten</w:t>
      </w:r>
    </w:p>
    <w:p>
      <w:r>
        <w:t>Anmelder: Brennhagen Elektronik AG, Vaihinger Straße 120, 70567 Stuttgart</w:t>
        <w:br/>
        <w:t>EORI-Nummer: DE5891234567890</w:t>
        <w:br/>
        <w:t>Bewilligungsnummer Zugelassener Wirtschaftsbeteiligter (AEO-C/AEOF): DE/AEOF/123456/0322</w:t>
        <w:br/>
        <w:t>Hauptzollamt: Stuttgart, Dienstort Heilbronn (fuer Werk REG)</w:t>
        <w:br/>
        <w:t>Zollvertretung: indirekt durch Kuehne+Nagel (Deutschland) GmbH, Niederlassung Heilbronn</w:t>
        <w:br/>
        <w:t>Verantwortlich Brennhagen: Frank Wendel (Head of Indirect / Trade Compliance), Sabine Hartmann (Head of Direct Materials), Christine Berger (Risk)</w:t>
      </w:r>
    </w:p>
    <w:p>
      <w:pPr>
        <w:pStyle w:val="Heading3"/>
      </w:pPr>
      <w:r>
        <w:t>Sammelnachweis Einfuhren Maerz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MRN (Movement Reference Number)</w:t>
            </w:r>
          </w:p>
        </w:tc>
        <w:tc>
          <w:tcPr>
            <w:tcW w:type="dxa" w:w="1728"/>
          </w:tcPr>
          <w:p>
            <w:r>
              <w:t>Versender / Land</w:t>
            </w:r>
          </w:p>
        </w:tc>
        <w:tc>
          <w:tcPr>
            <w:tcW w:type="dxa" w:w="1728"/>
          </w:tcPr>
          <w:p>
            <w:r>
              <w:t>Warenbeschreibung</w:t>
            </w:r>
          </w:p>
        </w:tc>
        <w:tc>
          <w:tcPr>
            <w:tcW w:type="dxa" w:w="1728"/>
          </w:tcPr>
          <w:p>
            <w:r>
              <w:t>Statistischer Wert (EUR)</w:t>
            </w:r>
          </w:p>
        </w:tc>
        <w:tc>
          <w:tcPr>
            <w:tcW w:type="dxa" w:w="1728"/>
          </w:tcPr>
          <w:p>
            <w:r>
              <w:t>Zollanmeldungsdatum</w:t>
            </w:r>
          </w:p>
        </w:tc>
      </w:tr>
      <w:tr>
        <w:tc>
          <w:tcPr>
            <w:tcW w:type="dxa" w:w="1728"/>
          </w:tcPr>
          <w:p>
            <w:r>
              <w:t>2023DE123450301001</w:t>
            </w:r>
          </w:p>
        </w:tc>
        <w:tc>
          <w:tcPr>
            <w:tcW w:type="dxa" w:w="1728"/>
          </w:tcPr>
          <w:p>
            <w:r>
              <w:t>Infineon Technologies AG / DE</w:t>
            </w:r>
          </w:p>
        </w:tc>
        <w:tc>
          <w:tcPr>
            <w:tcW w:type="dxa" w:w="1728"/>
          </w:tcPr>
          <w:p>
            <w:r>
              <w:t>Mikrocontroller AURIX (Pos. 8542 3110)</w:t>
            </w:r>
          </w:p>
        </w:tc>
        <w:tc>
          <w:tcPr>
            <w:tcW w:type="dxa" w:w="1728"/>
          </w:tcPr>
          <w:p>
            <w:r>
              <w:t>284.500</w:t>
            </w:r>
          </w:p>
        </w:tc>
        <w:tc>
          <w:tcPr>
            <w:tcW w:type="dxa" w:w="1728"/>
          </w:tcPr>
          <w:p>
            <w:r>
              <w:t>04.03.2023</w:t>
            </w:r>
          </w:p>
        </w:tc>
      </w:tr>
      <w:tr>
        <w:tc>
          <w:tcPr>
            <w:tcW w:type="dxa" w:w="1728"/>
          </w:tcPr>
          <w:p>
            <w:r>
              <w:t>2023DE123450301017</w:t>
            </w:r>
          </w:p>
        </w:tc>
        <w:tc>
          <w:tcPr>
            <w:tcW w:type="dxa" w:w="1728"/>
          </w:tcPr>
          <w:p>
            <w:r>
              <w:t>NXP Semiconductors / NL</w:t>
            </w:r>
          </w:p>
        </w:tc>
        <w:tc>
          <w:tcPr>
            <w:tcW w:type="dxa" w:w="1728"/>
          </w:tcPr>
          <w:p>
            <w:r>
              <w:t>CAN-FD Transceiver (Pos. 8542 3990)</w:t>
            </w:r>
          </w:p>
        </w:tc>
        <w:tc>
          <w:tcPr>
            <w:tcW w:type="dxa" w:w="1728"/>
          </w:tcPr>
          <w:p>
            <w:r>
              <w:t>186.230</w:t>
            </w:r>
          </w:p>
        </w:tc>
        <w:tc>
          <w:tcPr>
            <w:tcW w:type="dxa" w:w="1728"/>
          </w:tcPr>
          <w:p>
            <w:r>
              <w:t>08.03.2023</w:t>
            </w:r>
          </w:p>
        </w:tc>
      </w:tr>
      <w:tr>
        <w:tc>
          <w:tcPr>
            <w:tcW w:type="dxa" w:w="1728"/>
          </w:tcPr>
          <w:p>
            <w:r>
              <w:t>2023DE123450301029</w:t>
            </w:r>
          </w:p>
        </w:tc>
        <w:tc>
          <w:tcPr>
            <w:tcW w:type="dxa" w:w="1728"/>
          </w:tcPr>
          <w:p>
            <w:r>
              <w:t>STMicroelectronics / IT</w:t>
            </w:r>
          </w:p>
        </w:tc>
        <w:tc>
          <w:tcPr>
            <w:tcW w:type="dxa" w:w="1728"/>
          </w:tcPr>
          <w:p>
            <w:r>
              <w:t>STM32-MCU (Pos. 8542 3190)</w:t>
            </w:r>
          </w:p>
        </w:tc>
        <w:tc>
          <w:tcPr>
            <w:tcW w:type="dxa" w:w="1728"/>
          </w:tcPr>
          <w:p>
            <w:r>
              <w:t>142.800</w:t>
            </w:r>
          </w:p>
        </w:tc>
        <w:tc>
          <w:tcPr>
            <w:tcW w:type="dxa" w:w="1728"/>
          </w:tcPr>
          <w:p>
            <w:r>
              <w:t>11.03.2023</w:t>
            </w:r>
          </w:p>
        </w:tc>
      </w:tr>
      <w:tr>
        <w:tc>
          <w:tcPr>
            <w:tcW w:type="dxa" w:w="1728"/>
          </w:tcPr>
          <w:p>
            <w:r>
              <w:t>2023DE123450301044</w:t>
            </w:r>
          </w:p>
        </w:tc>
        <w:tc>
          <w:tcPr>
            <w:tcW w:type="dxa" w:w="1728"/>
          </w:tcPr>
          <w:p>
            <w:r>
              <w:t>Texas Instruments / US</w:t>
            </w:r>
          </w:p>
        </w:tc>
        <w:tc>
          <w:tcPr>
            <w:tcW w:type="dxa" w:w="1728"/>
          </w:tcPr>
          <w:p>
            <w:r>
              <w:t>Analog/DCDC-Wandler (Pos. 8542 3300)</w:t>
            </w:r>
          </w:p>
        </w:tc>
        <w:tc>
          <w:tcPr>
            <w:tcW w:type="dxa" w:w="1728"/>
          </w:tcPr>
          <w:p>
            <w:r>
              <w:t>98.450</w:t>
            </w:r>
          </w:p>
        </w:tc>
        <w:tc>
          <w:tcPr>
            <w:tcW w:type="dxa" w:w="1728"/>
          </w:tcPr>
          <w:p>
            <w:r>
              <w:t>15.03.2023</w:t>
            </w:r>
          </w:p>
        </w:tc>
      </w:tr>
      <w:tr>
        <w:tc>
          <w:tcPr>
            <w:tcW w:type="dxa" w:w="1728"/>
          </w:tcPr>
          <w:p>
            <w:r>
              <w:t>2023DE123450301062</w:t>
            </w:r>
          </w:p>
        </w:tc>
        <w:tc>
          <w:tcPr>
            <w:tcW w:type="dxa" w:w="1728"/>
          </w:tcPr>
          <w:p>
            <w:r>
              <w:t>Murata / JP</w:t>
            </w:r>
          </w:p>
        </w:tc>
        <w:tc>
          <w:tcPr>
            <w:tcW w:type="dxa" w:w="1728"/>
          </w:tcPr>
          <w:p>
            <w:r>
              <w:t>Passive Komponenten (Pos. 8532 2200)</w:t>
            </w:r>
          </w:p>
        </w:tc>
        <w:tc>
          <w:tcPr>
            <w:tcW w:type="dxa" w:w="1728"/>
          </w:tcPr>
          <w:p>
            <w:r>
              <w:t>62.150</w:t>
            </w:r>
          </w:p>
        </w:tc>
        <w:tc>
          <w:tcPr>
            <w:tcW w:type="dxa" w:w="1728"/>
          </w:tcPr>
          <w:p>
            <w:r>
              <w:t>19.03.2023</w:t>
            </w:r>
          </w:p>
        </w:tc>
      </w:tr>
      <w:tr>
        <w:tc>
          <w:tcPr>
            <w:tcW w:type="dxa" w:w="1728"/>
          </w:tcPr>
          <w:p>
            <w:r>
              <w:t>2023DE123450301088</w:t>
            </w:r>
          </w:p>
        </w:tc>
        <w:tc>
          <w:tcPr>
            <w:tcW w:type="dxa" w:w="1728"/>
          </w:tcPr>
          <w:p>
            <w:r>
              <w:t>TE Connectivity / CN</w:t>
            </w:r>
          </w:p>
        </w:tc>
        <w:tc>
          <w:tcPr>
            <w:tcW w:type="dxa" w:w="1728"/>
          </w:tcPr>
          <w:p>
            <w:r>
              <w:t>Steckverbinder (Pos. 8536 6990)</w:t>
            </w:r>
          </w:p>
        </w:tc>
        <w:tc>
          <w:tcPr>
            <w:tcW w:type="dxa" w:w="1728"/>
          </w:tcPr>
          <w:p>
            <w:r>
              <w:t>54.720</w:t>
            </w:r>
          </w:p>
        </w:tc>
        <w:tc>
          <w:tcPr>
            <w:tcW w:type="dxa" w:w="1728"/>
          </w:tcPr>
          <w:p>
            <w:r>
              <w:t>22.03.2023</w:t>
            </w:r>
          </w:p>
        </w:tc>
      </w:tr>
      <w:tr>
        <w:tc>
          <w:tcPr>
            <w:tcW w:type="dxa" w:w="1728"/>
          </w:tcPr>
          <w:p>
            <w:r>
              <w:t>2023DE123450301101</w:t>
            </w:r>
          </w:p>
        </w:tc>
        <w:tc>
          <w:tcPr>
            <w:tcW w:type="dxa" w:w="1728"/>
          </w:tcPr>
          <w:p>
            <w:r>
              <w:t>Bosch Sensortec / DE (Re-Import)</w:t>
            </w:r>
          </w:p>
        </w:tc>
        <w:tc>
          <w:tcPr>
            <w:tcW w:type="dxa" w:w="1728"/>
          </w:tcPr>
          <w:p>
            <w:r>
              <w:t>Drucksensoren MEMS (Pos. 9026 8020)</w:t>
            </w:r>
          </w:p>
        </w:tc>
        <w:tc>
          <w:tcPr>
            <w:tcW w:type="dxa" w:w="1728"/>
          </w:tcPr>
          <w:p>
            <w:r>
              <w:t>37.860</w:t>
            </w:r>
          </w:p>
        </w:tc>
        <w:tc>
          <w:tcPr>
            <w:tcW w:type="dxa" w:w="1728"/>
          </w:tcPr>
          <w:p>
            <w:r>
              <w:t>26.03.2023</w:t>
            </w:r>
          </w:p>
        </w:tc>
      </w:tr>
    </w:tbl>
    <w:p>
      <w:pPr>
        <w:pStyle w:val="Heading3"/>
      </w:pPr>
      <w:r>
        <w:t>Steuerliche Behandlung</w:t>
      </w:r>
    </w:p>
    <w:p>
      <w:r>
        <w:t>Einfuhrumsatzsteuer (EUSt) gemaess § 1 Abs. 1 Nr. 4 UStG: aufgeschoben (Vor-Anschreibungs-Verfahren). Verrechnung mit Vorsteueranspruch in der UStVA des Folgemonats. Zollabgaben: keine, da ueberwiegend Pos. 8542 (Halbleiter) zollfrei (ITA/WTO-Befreiung). Praeferenzpraeferenzen: PEM-Konvention angewendet fuer Importe aus IT/NL; Ursprungsnachweis EUR.1 bzw. Erklaerung auf der Rechnung fuer KMU-Lieferanten.</w:t>
      </w:r>
    </w:p>
    <w:p>
      <w:pPr>
        <w:pStyle w:val="Heading3"/>
      </w:pPr>
      <w:r>
        <w:t>Compliance-Check</w:t>
      </w:r>
    </w:p>
    <w:p>
      <w:pPr>
        <w:pStyle w:val="ListBullet"/>
      </w:pPr>
      <w:r>
        <w:t>Sanktionslisten-Pruefung (EU-, US- und UN-Listen) ueber MIC Customs Solutions: keine Treffer.</w:t>
      </w:r>
    </w:p>
    <w:p>
      <w:pPr>
        <w:pStyle w:val="ListBullet"/>
      </w:pPr>
      <w:r>
        <w:t>Dual-Use-Pruefung (EG VO 2021/821): keine genehmigungspflichtigen Gueter im Berichtsmonat.</w:t>
      </w:r>
    </w:p>
    <w:p>
      <w:pPr>
        <w:pStyle w:val="ListBullet"/>
      </w:pPr>
      <w:r>
        <w:t>Lieferanten-Stammdaten in SAP GTS sind auf Stand Maerz 2023 gepflegt.</w:t>
      </w:r>
    </w:p>
    <w:p>
      <w:pPr>
        <w:pStyle w:val="ListBullet"/>
      </w:pPr>
      <w:r>
        <w:t>AEO-Status: gueltig bis 31.3.2026 (Re-Audit Hauptzollamt 2025 geplant).</w:t>
      </w:r>
    </w:p>
    <w:p>
      <w:pPr>
        <w:pStyle w:val="ListBullet"/>
      </w:pPr>
      <w:r>
        <w:t>Stichproben durch Christine Berger (3 MRN, ohne Beanstandung).</w:t>
      </w:r>
    </w:p>
    <w:p>
      <w:pPr>
        <w:pStyle w:val="Heading3"/>
      </w:pPr>
      <w:r>
        <w:t>Aufbewahrung</w:t>
      </w:r>
    </w:p>
    <w:p>
      <w:r>
        <w:t>Anmeldungs- und Begleitdokumente werden gemaess § 147 AO 10 Jahre revisionssicher archiviert (Brennhagen-DMS d.velop documents, Stamm-Mandant REA). Originalbelege (Frachtbriefe, Handelsrechnungen) werden parallel im Logistikordner Werk REG abgelegt.</w:t>
      </w:r>
    </w:p>
    <w:p>
      <w:pPr>
        <w:pStyle w:val="Heading3"/>
      </w:pPr>
      <w:r>
        <w:t>Unterschrift</w:t>
      </w:r>
    </w:p>
    <w:p>
      <w:r>
        <w:t>Ort, Datum: Stuttgart, den Stuttgart, Anfang April 2023</w:t>
      </w:r>
    </w:p>
    <w:p>
      <w:r>
        <w:t>_________________________            _________________________</w:t>
        <w:br/>
        <w:t>Frank Wendel                          Christine Berger</w:t>
        <w:br/>
        <w:t>Head of Indirect / Trade Compliance                          Risk / Trade-Compliance Officer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