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Komponentenspezifikation - ECU-900 (Powertrain-Steuergeraet Gen3, Infineon AURIX TC39x) - Lieferant NXP Semiconductors Germany GmbH</w:t>
      </w:r>
    </w:p>
    <w:p>
      <w:pPr>
        <w:jc w:val="center"/>
      </w:pPr>
      <w:r>
        <w:t>Produkt-/Lieferant-spezifische Bauteilspezifikation - Spec-Nr. SPEC-ECU-900-NXP-2023</w:t>
      </w:r>
    </w:p>
    <w:p/>
    <w:p>
      <w:pPr>
        <w:pStyle w:val="Heading3"/>
      </w:pPr>
      <w:r>
        <w:t>1. Produktidentifikation</w:t>
      </w:r>
    </w:p>
    <w:p>
      <w:r>
        <w:t>Brennhagen-Produkt: ECU-900 (Powertrain-Steuergeraet Gen3, Infineon AURIX TC39x)</w:t>
        <w:br/>
        <w:t>Lieferant: NXP Semiconductors Germany GmbH (Troplowitzstrasse 20, 22529 Hamburg)</w:t>
        <w:br/>
        <w:t>Bauteil-Beschreibung: CAN-FD Transceiver TJA1463 / S32G274A Gateway-Prozessor</w:t>
        <w:br/>
        <w:t>Lieferanten-Teilenummer: TJA1463ATKZ / S32G274AHA1VPB1</w:t>
        <w:br/>
        <w:t>Brennhagen-Materialnr.: REA-ECU-900-NXP-001</w:t>
        <w:br/>
        <w:t>Stand: Revision 3.1, Freigabe 15. Mai 2023 (Spec-Owner: Dr. Stefan Hoffmann, CTO; Mit-Owner Hardware: Lars Wittmann, Lead Developer RSG Muenchen)</w:t>
      </w:r>
    </w:p>
    <w:p>
      <w:pPr>
        <w:pStyle w:val="Heading3"/>
      </w:pPr>
      <w:r>
        <w:t>2. Funktion und Einbauort</w:t>
      </w:r>
    </w:p>
    <w:p>
      <w:r>
        <w:t>Das Bauteil wird im Modul ECU-900 (ECU-900 (Powertrain-Steuergeraet Gen3, Infineon AURIX TC39x)) zentral fuer die Steuerungs-/Sensorik-/Schnittstellenfunktion eingesetzt. Stueckzahl pro Modul: 1 (ECU-900-Mainboard, Position U101). Einbauort: PCB-Layer 6, BGA-Footprint, Pitch 0,8 mm. Thermische Anforderungen: max. T_J 150 degC bei T_amb 105 degC.</w:t>
      </w:r>
    </w:p>
    <w:p>
      <w:pPr>
        <w:pStyle w:val="Heading3"/>
      </w:pPr>
      <w:r>
        <w:t>3. Elektrische und mechanische Spezifikation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Spezifikation</w:t>
            </w:r>
          </w:p>
        </w:tc>
        <w:tc>
          <w:tcPr>
            <w:tcW w:type="dxa" w:w="2880"/>
          </w:tcPr>
          <w:p>
            <w:r>
              <w:t>Pruefverfahren</w:t>
            </w:r>
          </w:p>
        </w:tc>
      </w:tr>
      <w:tr>
        <w:tc>
          <w:tcPr>
            <w:tcW w:type="dxa" w:w="2880"/>
          </w:tcPr>
          <w:p>
            <w:r>
              <w:t>Versorgungsspannung V_DD</w:t>
            </w:r>
          </w:p>
        </w:tc>
        <w:tc>
          <w:tcPr>
            <w:tcW w:type="dxa" w:w="2880"/>
          </w:tcPr>
          <w:p>
            <w:r>
              <w:t>3,3 V +/- 5 %</w:t>
            </w:r>
          </w:p>
        </w:tc>
        <w:tc>
          <w:tcPr>
            <w:tcW w:type="dxa" w:w="2880"/>
          </w:tcPr>
          <w:p>
            <w:r>
              <w:t>AEC-Q100 Class 2</w:t>
            </w:r>
          </w:p>
        </w:tc>
      </w:tr>
      <w:tr>
        <w:tc>
          <w:tcPr>
            <w:tcW w:type="dxa" w:w="2880"/>
          </w:tcPr>
          <w:p>
            <w:r>
              <w:t>Stromaufnahme I_DD (typ.)</w:t>
            </w:r>
          </w:p>
        </w:tc>
        <w:tc>
          <w:tcPr>
            <w:tcW w:type="dxa" w:w="2880"/>
          </w:tcPr>
          <w:p>
            <w:r>
              <w:t>240 mA bei 300 MHz</w:t>
            </w:r>
          </w:p>
        </w:tc>
        <w:tc>
          <w:tcPr>
            <w:tcW w:type="dxa" w:w="2880"/>
          </w:tcPr>
          <w:p>
            <w:r>
              <w:t>Datenblatt Lieferant</w:t>
            </w:r>
          </w:p>
        </w:tc>
      </w:tr>
      <w:tr>
        <w:tc>
          <w:tcPr>
            <w:tcW w:type="dxa" w:w="2880"/>
          </w:tcPr>
          <w:p>
            <w:r>
              <w:t>Betriebstemperatur</w:t>
            </w:r>
          </w:p>
        </w:tc>
        <w:tc>
          <w:tcPr>
            <w:tcW w:type="dxa" w:w="2880"/>
          </w:tcPr>
          <w:p>
            <w:r>
              <w:t>-40 degC bis +125 degC (Grade 1)</w:t>
            </w:r>
          </w:p>
        </w:tc>
        <w:tc>
          <w:tcPr>
            <w:tcW w:type="dxa" w:w="2880"/>
          </w:tcPr>
          <w:p>
            <w:r>
              <w:t>Burn-in 24 h @ 125 degC</w:t>
            </w:r>
          </w:p>
        </w:tc>
      </w:tr>
      <w:tr>
        <w:tc>
          <w:tcPr>
            <w:tcW w:type="dxa" w:w="2880"/>
          </w:tcPr>
          <w:p>
            <w:r>
              <w:t>Gehaeuse</w:t>
            </w:r>
          </w:p>
        </w:tc>
        <w:tc>
          <w:tcPr>
            <w:tcW w:type="dxa" w:w="2880"/>
          </w:tcPr>
          <w:p>
            <w:r>
              <w:t>LFBGA-292 (16x16 mm)</w:t>
            </w:r>
          </w:p>
        </w:tc>
        <w:tc>
          <w:tcPr>
            <w:tcW w:type="dxa" w:w="2880"/>
          </w:tcPr>
          <w:p>
            <w:r>
              <w:t>JEDEC MS-034</w:t>
            </w:r>
          </w:p>
        </w:tc>
      </w:tr>
      <w:tr>
        <w:tc>
          <w:tcPr>
            <w:tcW w:type="dxa" w:w="2880"/>
          </w:tcPr>
          <w:p>
            <w:r>
              <w:t>Lagerung Floor-Life</w:t>
            </w:r>
          </w:p>
        </w:tc>
        <w:tc>
          <w:tcPr>
            <w:tcW w:type="dxa" w:w="2880"/>
          </w:tcPr>
          <w:p>
            <w:r>
              <w:t>MSL 3 (168 h nach Oeffnen)</w:t>
            </w:r>
          </w:p>
        </w:tc>
        <w:tc>
          <w:tcPr>
            <w:tcW w:type="dxa" w:w="2880"/>
          </w:tcPr>
          <w:p>
            <w:r>
              <w:t>JEDEC J-STD-020</w:t>
            </w:r>
          </w:p>
        </w:tc>
      </w:tr>
      <w:tr>
        <w:tc>
          <w:tcPr>
            <w:tcW w:type="dxa" w:w="2880"/>
          </w:tcPr>
          <w:p>
            <w:r>
              <w:t>Funktionssicherheit</w:t>
            </w:r>
          </w:p>
        </w:tc>
        <w:tc>
          <w:tcPr>
            <w:tcW w:type="dxa" w:w="2880"/>
          </w:tcPr>
          <w:p>
            <w:r>
              <w:t>ISO 26262 ASIL-D-ready (Safety Manual v2.1)</w:t>
            </w:r>
          </w:p>
        </w:tc>
        <w:tc>
          <w:tcPr>
            <w:tcW w:type="dxa" w:w="2880"/>
          </w:tcPr>
          <w:p>
            <w:r>
              <w:t>ISO 26262 Part 5/9</w:t>
            </w:r>
          </w:p>
        </w:tc>
      </w:tr>
      <w:tr>
        <w:tc>
          <w:tcPr>
            <w:tcW w:type="dxa" w:w="2880"/>
          </w:tcPr>
          <w:p>
            <w:r>
              <w:t>EMV</w:t>
            </w:r>
          </w:p>
        </w:tc>
        <w:tc>
          <w:tcPr>
            <w:tcW w:type="dxa" w:w="2880"/>
          </w:tcPr>
          <w:p>
            <w:r>
              <w:t>ISO 11452-4 / IEC 62132-3</w:t>
            </w:r>
          </w:p>
        </w:tc>
        <w:tc>
          <w:tcPr>
            <w:tcW w:type="dxa" w:w="2880"/>
          </w:tcPr>
          <w:p>
            <w:r>
              <w:t>EMV-Labor REG Heilbronn</w:t>
            </w:r>
          </w:p>
        </w:tc>
      </w:tr>
    </w:tbl>
    <w:p>
      <w:pPr>
        <w:pStyle w:val="Heading3"/>
      </w:pPr>
      <w:r>
        <w:t>4. Qualitaet und Pruefumfang</w:t>
      </w:r>
    </w:p>
    <w:p>
      <w:pPr>
        <w:pStyle w:val="ListBullet"/>
      </w:pPr>
      <w:r>
        <w:t>PPAP Level 3 (full submission) bei Erstmuster und nach jeder PCN.</w:t>
      </w:r>
    </w:p>
    <w:p>
      <w:pPr>
        <w:pStyle w:val="ListBullet"/>
      </w:pPr>
      <w:r>
        <w:t>100 %-Endtest beim Lieferanten (Boundary-Scan, Funktionspattern).</w:t>
      </w:r>
    </w:p>
    <w:p>
      <w:pPr>
        <w:pStyle w:val="ListBullet"/>
      </w:pPr>
      <w:r>
        <w:t>AOI (Automated Optical Inspection) im SMD-Prozess REG/RPL.</w:t>
      </w:r>
    </w:p>
    <w:p>
      <w:pPr>
        <w:pStyle w:val="ListBullet"/>
      </w:pPr>
      <w:r>
        <w:t>ICT/Flying-Probe-Test im Brennhagen-Werk; FAI vor Serienfreigabe.</w:t>
      </w:r>
    </w:p>
    <w:p>
      <w:pPr>
        <w:pStyle w:val="ListBullet"/>
      </w:pPr>
      <w:r>
        <w:t>Rueckverfolgbarkeit: Lot-Nr.-basierte Traceability bis Wafer-Lot des Lieferanten.</w:t>
      </w:r>
    </w:p>
    <w:p>
      <w:pPr>
        <w:pStyle w:val="ListBullet"/>
      </w:pPr>
      <w:r>
        <w:t>Cpk-Anforderung kritische Parameter &gt;= 1,67; CmK &gt;= 2,0 bei Initial-Capability-Studie.</w:t>
      </w:r>
    </w:p>
    <w:p>
      <w:pPr>
        <w:pStyle w:val="Heading3"/>
      </w:pPr>
      <w:r>
        <w:t>5. Logistik und Verpackung</w:t>
      </w:r>
    </w:p>
    <w:p>
      <w:r>
        <w:t>Standardverpackung: Tape &amp; Reel (4.000 Stueck/Reel), MSL-3-Trockenbeutel mit Indikatorkarte. Etikettierung gemaess VDA 4994 (DataMatrix-Code, GTIN). Versand DDP REG Heilbronn (Incoterms 2020), ESD-konforme Tray-Verpackung fuer Mustermengen. Sicherheitsbestand: 6 Wochen Forward-Bedarf im Bonded Warehouse Lieferant. Konsignationslager fuer Serie geplant ab Q4 2024.</w:t>
      </w:r>
    </w:p>
    <w:p>
      <w:pPr>
        <w:pStyle w:val="Heading3"/>
      </w:pPr>
      <w:r>
        <w:t>6. Aenderungsmanagement</w:t>
      </w:r>
    </w:p>
    <w:p>
      <w:r>
        <w:t>Aenderungen am Bauteil (Material, Prozess, Wafer-Fab, Backend-Site, Re-Naming) erfordern PCN (Product Change Notification) mit 6 Monaten Vorlaufzeit. Genehmigungspflicht durch Andreas Kaufmann (Head of Supplier Quality) und Dr. Stefan Hoffmann (CTO; ab 1.7.2024 Dr. Petra Hollmann). Bei Wafer-Fab-Wechsel: voller Re-Qualifikationslauf gemaess AEC-Q100, begleitende EMV-Re-Verifikation in REG Heilbronn.</w:t>
      </w:r>
    </w:p>
    <w:p>
      <w:pPr>
        <w:pStyle w:val="Heading3"/>
      </w:pPr>
      <w:r>
        <w:t>7. Freigabe / Sign-off</w:t>
      </w:r>
    </w:p>
    <w:p>
      <w:r>
        <w:t>Ort, Datum: Stuttgart, den Stuttgart, 15. Mai 2023</w:t>
      </w:r>
    </w:p>
    <w:p>
      <w:r>
        <w:t>_________________________            _________________________</w:t>
        <w:br/>
        <w:t>Dr. Stefan Hoffmann                          Herr Olaf Brandt</w:t>
        <w:br/>
        <w:t>CTO (Hardware-Verantwortung)                          Qualitaetsleitung Lieferant</w:t>
        <w:br/>
        <w:t>Brennhagen Elektronik AG                       NXP Semiconductors Germany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