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CAPA-Vorgang Nr. CAPA-2023-0014</w:t>
      </w:r>
    </w:p>
    <w:p/>
    <w:p>
      <w:pPr>
        <w:pStyle w:val="Heading3"/>
      </w:pPr>
      <w:r>
        <w:t>1. Kopfdaten CAPA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Feld</w:t>
            </w:r>
          </w:p>
        </w:tc>
        <w:tc>
          <w:tcPr>
            <w:tcW w:type="dxa" w:w="4320"/>
          </w:tcPr>
          <w:p>
            <w:r>
              <w:t>Wert</w:t>
            </w:r>
          </w:p>
        </w:tc>
      </w:tr>
      <w:tr>
        <w:tc>
          <w:tcPr>
            <w:tcW w:type="dxa" w:w="4320"/>
          </w:tcPr>
          <w:p>
            <w:r>
              <w:t>CAPA-Nummer</w:t>
            </w:r>
          </w:p>
        </w:tc>
        <w:tc>
          <w:tcPr>
            <w:tcW w:type="dxa" w:w="4320"/>
          </w:tcPr>
          <w:p>
            <w:r>
              <w:t>CAPA-2023-0014</w:t>
            </w:r>
          </w:p>
        </w:tc>
      </w:tr>
      <w:tr>
        <w:tc>
          <w:tcPr>
            <w:tcW w:type="dxa" w:w="4320"/>
          </w:tcPr>
          <w:p>
            <w:r>
              <w:t>Quelle (Auslöser)</w:t>
            </w:r>
          </w:p>
        </w:tc>
        <w:tc>
          <w:tcPr>
            <w:tcW w:type="dxa" w:w="4320"/>
          </w:tcPr>
          <w:p>
            <w:r>
              <w:t>Internes Audit IATF 16949 / Findings KW36</w:t>
            </w:r>
          </w:p>
        </w:tc>
      </w:tr>
      <w:tr>
        <w:tc>
          <w:tcPr>
            <w:tcW w:type="dxa" w:w="4320"/>
          </w:tcPr>
          <w:p>
            <w:r>
              <w:t>Eroeffnet am</w:t>
            </w:r>
          </w:p>
        </w:tc>
        <w:tc>
          <w:tcPr>
            <w:tcW w:type="dxa" w:w="4320"/>
          </w:tcPr>
          <w:p>
            <w:r>
              <w:t>2023-09-12</w:t>
            </w:r>
          </w:p>
        </w:tc>
      </w:tr>
      <w:tr>
        <w:tc>
          <w:tcPr>
            <w:tcW w:type="dxa" w:w="4320"/>
          </w:tcPr>
          <w:p>
            <w:r>
              <w:t>Eroeffnet durch</w:t>
            </w:r>
          </w:p>
        </w:tc>
        <w:tc>
          <w:tcPr>
            <w:tcW w:type="dxa" w:w="4320"/>
          </w:tcPr>
          <w:p>
            <w:r>
              <w:t>Andreas Buehler (Chief Audit Executive)</w:t>
            </w:r>
          </w:p>
        </w:tc>
      </w:tr>
      <w:tr>
        <w:tc>
          <w:tcPr>
            <w:tcW w:type="dxa" w:w="4320"/>
          </w:tcPr>
          <w:p>
            <w:r>
              <w:t>Verantwortlich (Owner)</w:t>
            </w:r>
          </w:p>
        </w:tc>
        <w:tc>
          <w:tcPr>
            <w:tcW w:type="dxa" w:w="4320"/>
          </w:tcPr>
          <w:p>
            <w:r>
              <w:t>Sabine Brand, Q-Konzern</w:t>
            </w:r>
          </w:p>
        </w:tc>
      </w:tr>
      <w:tr>
        <w:tc>
          <w:tcPr>
            <w:tcW w:type="dxa" w:w="4320"/>
          </w:tcPr>
          <w:p>
            <w:r>
              <w:t>Betroffener Prozess</w:t>
            </w:r>
          </w:p>
        </w:tc>
        <w:tc>
          <w:tcPr>
            <w:tcW w:type="dxa" w:w="4320"/>
          </w:tcPr>
          <w:p>
            <w:r>
              <w:t>Lieferantenbewertung / Wareneingang</w:t>
            </w:r>
          </w:p>
        </w:tc>
      </w:tr>
      <w:tr>
        <w:tc>
          <w:tcPr>
            <w:tcW w:type="dxa" w:w="4320"/>
          </w:tcPr>
          <w:p>
            <w:r>
              <w:t>Kategorie</w:t>
            </w:r>
          </w:p>
        </w:tc>
        <w:tc>
          <w:tcPr>
            <w:tcW w:type="dxa" w:w="4320"/>
          </w:tcPr>
          <w:p>
            <w:r>
              <w:t>Corrective Action (CA) + Preventive Action (PA)</w:t>
            </w:r>
          </w:p>
        </w:tc>
      </w:tr>
      <w:tr>
        <w:tc>
          <w:tcPr>
            <w:tcW w:type="dxa" w:w="4320"/>
          </w:tcPr>
          <w:p>
            <w:r>
              <w:t>Faelligkeit</w:t>
            </w:r>
          </w:p>
        </w:tc>
        <w:tc>
          <w:tcPr>
            <w:tcW w:type="dxa" w:w="4320"/>
          </w:tcPr>
          <w:p>
            <w:r>
              <w:t>2023-12-15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in Bearbeitung (Fortschritt 60 %)</w:t>
            </w:r>
          </w:p>
        </w:tc>
      </w:tr>
    </w:tbl>
    <w:p>
      <w:pPr>
        <w:pStyle w:val="Heading3"/>
      </w:pPr>
      <w:r>
        <w:t>2. Beschreibung der Abweichung</w:t>
      </w:r>
    </w:p>
    <w:p>
      <w:r>
        <w:t>Im Rahmen des internen IATF-16949-Audits 2023 wurde eine Major Non-Conformity zu Klausel 8.4.2.4 festgestellt: die Lieferanten-Re-Bewertung (annual re-evaluation) wurde fuer 14 von 47 produktiven Lieferanten nicht innerhalb der vorgegebenen 12-Monats-Frist durchgefuehrt. Auditor: Dr. Christian Walter, DEKRA. Frist zur Schliessung 90 Tage.</w:t>
      </w:r>
    </w:p>
    <w:p>
      <w:pPr>
        <w:pStyle w:val="Heading3"/>
      </w:pPr>
      <w:r>
        <w:t>3. Sofort- und Korrekturmassnahmen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Nr.</w:t>
            </w:r>
          </w:p>
        </w:tc>
        <w:tc>
          <w:tcPr>
            <w:tcW w:type="dxa" w:w="1728"/>
          </w:tcPr>
          <w:p>
            <w:r>
              <w:t>Massnahme</w:t>
            </w:r>
          </w:p>
        </w:tc>
        <w:tc>
          <w:tcPr>
            <w:tcW w:type="dxa" w:w="1728"/>
          </w:tcPr>
          <w:p>
            <w:r>
              <w:t>Verantwortlich</w:t>
            </w:r>
          </w:p>
        </w:tc>
        <w:tc>
          <w:tcPr>
            <w:tcW w:type="dxa" w:w="1728"/>
          </w:tcPr>
          <w:p>
            <w:r>
              <w:t>Frist</w:t>
            </w:r>
          </w:p>
        </w:tc>
        <w:tc>
          <w:tcPr>
            <w:tcW w:type="dxa" w:w="1728"/>
          </w:tcPr>
          <w:p>
            <w:r>
              <w:t>Status</w:t>
            </w:r>
          </w:p>
        </w:tc>
      </w:tr>
      <w:tr>
        <w:tc>
          <w:tcPr>
            <w:tcW w:type="dxa" w:w="1728"/>
          </w:tcPr>
          <w:p>
            <w:r>
              <w:t>C1</w:t>
            </w:r>
          </w:p>
        </w:tc>
        <w:tc>
          <w:tcPr>
            <w:tcW w:type="dxa" w:w="1728"/>
          </w:tcPr>
          <w:p>
            <w:r>
              <w:t>Nachholung aller offenen Re-Bewertungen (14 Stueck)</w:t>
            </w:r>
          </w:p>
        </w:tc>
        <w:tc>
          <w:tcPr>
            <w:tcW w:type="dxa" w:w="1728"/>
          </w:tcPr>
          <w:p>
            <w:r>
              <w:t>Holger Reinmann</w:t>
            </w:r>
          </w:p>
        </w:tc>
        <w:tc>
          <w:tcPr>
            <w:tcW w:type="dxa" w:w="1728"/>
          </w:tcPr>
          <w:p>
            <w:r>
              <w:t>2023-10-31</w:t>
            </w:r>
          </w:p>
        </w:tc>
        <w:tc>
          <w:tcPr>
            <w:tcW w:type="dxa" w:w="1728"/>
          </w:tcPr>
          <w:p>
            <w:r>
              <w:t>abgeschlossen</w:t>
            </w:r>
          </w:p>
        </w:tc>
      </w:tr>
      <w:tr>
        <w:tc>
          <w:tcPr>
            <w:tcW w:type="dxa" w:w="1728"/>
          </w:tcPr>
          <w:p>
            <w:r>
              <w:t>C2</w:t>
            </w:r>
          </w:p>
        </w:tc>
        <w:tc>
          <w:tcPr>
            <w:tcW w:type="dxa" w:w="1728"/>
          </w:tcPr>
          <w:p>
            <w:r>
              <w:t>Eskalations-Workflow im SRM-Tool (SAP Ariba) aktivieren</w:t>
            </w:r>
          </w:p>
        </w:tc>
        <w:tc>
          <w:tcPr>
            <w:tcW w:type="dxa" w:w="1728"/>
          </w:tcPr>
          <w:p>
            <w:r>
              <w:t>IT-Q (Florian Maier)</w:t>
            </w:r>
          </w:p>
        </w:tc>
        <w:tc>
          <w:tcPr>
            <w:tcW w:type="dxa" w:w="1728"/>
          </w:tcPr>
          <w:p>
            <w:r>
              <w:t>2023-11-15</w:t>
            </w:r>
          </w:p>
        </w:tc>
        <w:tc>
          <w:tcPr>
            <w:tcW w:type="dxa" w:w="1728"/>
          </w:tcPr>
          <w:p>
            <w:r>
              <w:t>in Test</w:t>
            </w:r>
          </w:p>
        </w:tc>
      </w:tr>
      <w:tr>
        <w:tc>
          <w:tcPr>
            <w:tcW w:type="dxa" w:w="1728"/>
          </w:tcPr>
          <w:p>
            <w:r>
              <w:t>C3</w:t>
            </w:r>
          </w:p>
        </w:tc>
        <w:tc>
          <w:tcPr>
            <w:tcW w:type="dxa" w:w="1728"/>
          </w:tcPr>
          <w:p>
            <w:r>
              <w:t>Pflichtfeld 'Naechste Re-Bewertung' im SRM</w:t>
            </w:r>
          </w:p>
        </w:tc>
        <w:tc>
          <w:tcPr>
            <w:tcW w:type="dxa" w:w="1728"/>
          </w:tcPr>
          <w:p>
            <w:r>
              <w:t>IT-Q</w:t>
            </w:r>
          </w:p>
        </w:tc>
        <w:tc>
          <w:tcPr>
            <w:tcW w:type="dxa" w:w="1728"/>
          </w:tcPr>
          <w:p>
            <w:r>
              <w:t>2023-11-30</w:t>
            </w:r>
          </w:p>
        </w:tc>
        <w:tc>
          <w:tcPr>
            <w:tcW w:type="dxa" w:w="1728"/>
          </w:tcPr>
          <w:p>
            <w:r>
              <w:t>in Umsetzung</w:t>
            </w:r>
          </w:p>
        </w:tc>
      </w:tr>
      <w:tr>
        <w:tc>
          <w:tcPr>
            <w:tcW w:type="dxa" w:w="1728"/>
          </w:tcPr>
          <w:p>
            <w:r>
              <w:t>P1</w:t>
            </w:r>
          </w:p>
        </w:tc>
        <w:tc>
          <w:tcPr>
            <w:tcW w:type="dxa" w:w="1728"/>
          </w:tcPr>
          <w:p>
            <w:r>
              <w:t>Quartalsweiser Bestand-Soll-Abgleich im Q-Cockpit Tableau</w:t>
            </w:r>
          </w:p>
        </w:tc>
        <w:tc>
          <w:tcPr>
            <w:tcW w:type="dxa" w:w="1728"/>
          </w:tcPr>
          <w:p>
            <w:r>
              <w:t>Sabine Brand</w:t>
            </w:r>
          </w:p>
        </w:tc>
        <w:tc>
          <w:tcPr>
            <w:tcW w:type="dxa" w:w="1728"/>
          </w:tcPr>
          <w:p>
            <w:r>
              <w:t>2024-01-31</w:t>
            </w:r>
          </w:p>
        </w:tc>
        <w:tc>
          <w:tcPr>
            <w:tcW w:type="dxa" w:w="1728"/>
          </w:tcPr>
          <w:p>
            <w:r>
              <w:t>geplant</w:t>
            </w:r>
          </w:p>
        </w:tc>
      </w:tr>
      <w:tr>
        <w:tc>
          <w:tcPr>
            <w:tcW w:type="dxa" w:w="1728"/>
          </w:tcPr>
          <w:p>
            <w:r>
              <w:t>P2</w:t>
            </w:r>
          </w:p>
        </w:tc>
        <w:tc>
          <w:tcPr>
            <w:tcW w:type="dxa" w:w="1728"/>
          </w:tcPr>
          <w:p>
            <w:r>
              <w:t>Anpassung Verfahrensanweisung QV-08.4-04</w:t>
            </w:r>
          </w:p>
        </w:tc>
        <w:tc>
          <w:tcPr>
            <w:tcW w:type="dxa" w:w="1728"/>
          </w:tcPr>
          <w:p>
            <w:r>
              <w:t>Sandra Weber</w:t>
            </w:r>
          </w:p>
        </w:tc>
        <w:tc>
          <w:tcPr>
            <w:tcW w:type="dxa" w:w="1728"/>
          </w:tcPr>
          <w:p>
            <w:r>
              <w:t>2023-12-15</w:t>
            </w:r>
          </w:p>
        </w:tc>
        <w:tc>
          <w:tcPr>
            <w:tcW w:type="dxa" w:w="1728"/>
          </w:tcPr>
          <w:p>
            <w:r>
              <w:t>in Pruefung</w:t>
            </w:r>
          </w:p>
        </w:tc>
      </w:tr>
    </w:tbl>
    <w:p>
      <w:pPr>
        <w:pStyle w:val="Heading3"/>
      </w:pPr>
      <w:r>
        <w:t>4. Wirksamkeitspruefung</w:t>
      </w:r>
    </w:p>
    <w:p>
      <w:r>
        <w:t>Die Wirksamkeitspruefung erfolgt im 1. Quartal 2024 durch erneute Stichprobenpruefung (10 zufaellig gezogene Lieferanten) sowie ueber das Quartals-KPI 'Anteil ueberfaellige Re-Bewertungen' (Zielwert 0 %). CAPA-Closure erfolgt nach positiver Wirksamkeitspruefung und Freigabe durch CAE.</w:t>
      </w:r>
    </w:p>
    <w:p>
      <w:pPr>
        <w:pStyle w:val="Heading3"/>
      </w:pPr>
      <w:r>
        <w:t>5. Unterschriften</w:t>
      </w:r>
    </w:p>
    <w:p>
      <w:r>
        <w:t>Ort, Datum: Stuttgart, den 12. September 2023</w:t>
      </w:r>
    </w:p>
    <w:p>
      <w:r>
        <w:t>_________________________            _________________________</w:t>
        <w:br/>
        <w:t>Sabine Brand                          Andreas Buehler</w:t>
        <w:br/>
        <w:t>Leiterin QM Konzern (Owner)                          Chief Audit Executive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