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ECO-ADAS-V4D-013</w:t>
      </w:r>
    </w:p>
    <w:p/>
    <w:p>
      <w:pPr>
        <w:pStyle w:val="Heading3"/>
      </w:pPr>
      <w:r>
        <w:t>1. Engineering Change Order — Kopfdaten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ECO-Nr.</w:t>
            </w:r>
          </w:p>
        </w:tc>
        <w:tc>
          <w:tcPr>
            <w:tcW w:type="dxa" w:w="4320"/>
          </w:tcPr>
          <w:p>
            <w:r>
              <w:t>ECO-ADAS-V4D-013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ADAS-V4D Radar Fusion ECU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RAE-ADAS-V4D-A02 → A03</w:t>
            </w:r>
          </w:p>
        </w:tc>
      </w:tr>
      <w:tr>
        <w:tc>
          <w:tcPr>
            <w:tcW w:type="dxa" w:w="4320"/>
          </w:tcPr>
          <w:p>
            <w:r>
              <w:t>Aenderungsgrund</w:t>
            </w:r>
          </w:p>
        </w:tc>
        <w:tc>
          <w:tcPr>
            <w:tcW w:type="dxa" w:w="4320"/>
          </w:tcPr>
          <w:p>
            <w:r>
              <w:t>PCB-Layer-Optimierung zur EMV-Verbesserung (Klasse 5 → Klasse 4)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Engineering RSG, Dr. Markus Hauser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02. September 2023</w:t>
            </w:r>
          </w:p>
        </w:tc>
      </w:tr>
      <w:tr>
        <w:tc>
          <w:tcPr>
            <w:tcW w:type="dxa" w:w="4320"/>
          </w:tcPr>
          <w:p>
            <w:r>
              <w:t>Wirksamkeitsdatum</w:t>
            </w:r>
          </w:p>
        </w:tc>
        <w:tc>
          <w:tcPr>
            <w:tcW w:type="dxa" w:w="4320"/>
          </w:tcPr>
          <w:p>
            <w:r>
              <w:t>01. November 2023</w:t>
            </w:r>
          </w:p>
        </w:tc>
      </w:tr>
      <w:tr>
        <w:tc>
          <w:tcPr>
            <w:tcW w:type="dxa" w:w="4320"/>
          </w:tcPr>
          <w:p>
            <w:r>
              <w:t>Re-PPAP-Pflicht</w:t>
            </w:r>
          </w:p>
        </w:tc>
        <w:tc>
          <w:tcPr>
            <w:tcW w:type="dxa" w:w="4320"/>
          </w:tcPr>
          <w:p>
            <w:r>
              <w:t>Ja, Level 3</w:t>
            </w:r>
          </w:p>
        </w:tc>
      </w:tr>
      <w:tr>
        <w:tc>
          <w:tcPr>
            <w:tcW w:type="dxa" w:w="4320"/>
          </w:tcPr>
          <w:p>
            <w:r>
              <w:t>Betroffene OEM-Programme</w:t>
            </w:r>
          </w:p>
        </w:tc>
        <w:tc>
          <w:tcPr>
            <w:tcW w:type="dxa" w:w="4320"/>
          </w:tcPr>
          <w:p>
            <w:r>
              <w:t>BMW iX i20, Stellantis Peugeot e-3008, Mercedes EQS V297</w:t>
            </w:r>
          </w:p>
        </w:tc>
      </w:tr>
      <w:tr>
        <w:tc>
          <w:tcPr>
            <w:tcW w:type="dxa" w:w="4320"/>
          </w:tcPr>
          <w:p>
            <w:r>
              <w:t>CCB-Sitzung</w:t>
            </w:r>
          </w:p>
        </w:tc>
        <w:tc>
          <w:tcPr>
            <w:tcW w:type="dxa" w:w="4320"/>
          </w:tcPr>
          <w:p>
            <w:r>
              <w:t>15. September 2023, Stuttgart</w:t>
            </w:r>
          </w:p>
        </w:tc>
      </w:tr>
      <w:tr>
        <w:tc>
          <w:tcPr>
            <w:tcW w:type="dxa" w:w="4320"/>
          </w:tcPr>
          <w:p>
            <w:r>
              <w:t>CCB-Vorsitz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Aenderung des 8-Lagen-PCB-Layouts zur Verbesserung der EMV-Performance (BCI/ALSE) gemaess ISO 11452-4 und ISO 11452-2. Veraendert wurden die Massflaechen-Topologie auf Layer 3 und 6 sowie zwei Filterkomponenten (C147 von 100 nF auf 220 nF; L23 von 4,7 µH auf 10 µH). Die Schaltungsfunktion bleibt unveraendert, die Aenderung ist rein passiv-filtertechnisch. Re-Verifikation gem. ISO 26262 ASIL B mit kompletter EMV-Re-Validierung, BCI nach ISO 11452-4 (100 V/m Anforderung), ALSE nach ISO 11452-2, plus ESD-Pruefungen nach ISO 10605 (Air- und Contact-Discharge bis +/- 25 kV). Hintergrund: vom Kunden BMW im Rahmen der iX i20 Vorserienpruefung wurde eine grenzwertige EMV-Performance im Bereich 700-900 MHz festgestellt (gemessen 92 V/m statt geforderter 100 V/m); diese Aenderung stellt einen robusten Sicherheitsabstand her und entkoppelt das System fuer kommende Programme (Stellantis STLA-Large).</w:t>
      </w:r>
    </w:p>
    <w:p>
      <w:pPr>
        <w:pStyle w:val="Heading3"/>
      </w:pPr>
      <w:r>
        <w:t>3. Auswirkungs- und Risikobewertung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Bereich</w:t>
            </w:r>
          </w:p>
        </w:tc>
        <w:tc>
          <w:tcPr>
            <w:tcW w:type="dxa" w:w="2160"/>
          </w:tcPr>
          <w:p>
            <w:r>
              <w:t>Auswirkung</w:t>
            </w:r>
          </w:p>
        </w:tc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Stueckkosten</w:t>
            </w:r>
          </w:p>
        </w:tc>
        <w:tc>
          <w:tcPr>
            <w:tcW w:type="dxa" w:w="2160"/>
          </w:tcPr>
          <w:p>
            <w:r>
              <w:t>+0,18 EUR/Stueck</w:t>
            </w:r>
          </w:p>
        </w:tc>
        <w:tc>
          <w:tcPr>
            <w:tcW w:type="dxa" w:w="2160"/>
          </w:tcPr>
          <w:p>
            <w:r>
              <w:t>akzeptabel</w:t>
            </w:r>
          </w:p>
        </w:tc>
        <w:tc>
          <w:tcPr>
            <w:tcW w:type="dxa" w:w="2160"/>
          </w:tcPr>
          <w:p>
            <w:r>
              <w:t>in Kalkulation 2024 eingepreist</w:t>
            </w:r>
          </w:p>
        </w:tc>
      </w:tr>
      <w:tr>
        <w:tc>
          <w:tcPr>
            <w:tcW w:type="dxa" w:w="2160"/>
          </w:tcPr>
          <w:p>
            <w:r>
              <w:t>Lieferzeiten</w:t>
            </w:r>
          </w:p>
        </w:tc>
        <w:tc>
          <w:tcPr>
            <w:tcW w:type="dxa" w:w="2160"/>
          </w:tcPr>
          <w:p>
            <w:r>
              <w:t>+2 Wochen PCB-Anlauf bei AT&amp;S</w:t>
            </w:r>
          </w:p>
        </w:tc>
        <w:tc>
          <w:tcPr>
            <w:tcW w:type="dxa" w:w="2160"/>
          </w:tcPr>
          <w:p>
            <w:r>
              <w:t>moderat</w:t>
            </w:r>
          </w:p>
        </w:tc>
        <w:tc>
          <w:tcPr>
            <w:tcW w:type="dxa" w:w="2160"/>
          </w:tcPr>
          <w:p>
            <w:r>
              <w:t>Pufferbestand 8 Wochen vorhanden</w:t>
            </w:r>
          </w:p>
        </w:tc>
      </w:tr>
      <w:tr>
        <w:tc>
          <w:tcPr>
            <w:tcW w:type="dxa" w:w="2160"/>
          </w:tcPr>
          <w:p>
            <w:r>
              <w:t>Re-Validierung</w:t>
            </w:r>
          </w:p>
        </w:tc>
        <w:tc>
          <w:tcPr>
            <w:tcW w:type="dxa" w:w="2160"/>
          </w:tcPr>
          <w:p>
            <w:r>
              <w:t>BCI/ALSE/ESD-Re-Test (4 Wochen)</w:t>
            </w:r>
          </w:p>
        </w:tc>
        <w:tc>
          <w:tcPr>
            <w:tcW w:type="dxa" w:w="2160"/>
          </w:tcPr>
          <w:p>
            <w:r>
              <w:t>moderat</w:t>
            </w:r>
          </w:p>
        </w:tc>
        <w:tc>
          <w:tcPr>
            <w:tcW w:type="dxa" w:w="2160"/>
          </w:tcPr>
          <w:p>
            <w:r>
              <w:t>Pruefslot Klimakammer reserviert</w:t>
            </w:r>
          </w:p>
        </w:tc>
      </w:tr>
      <w:tr>
        <w:tc>
          <w:tcPr>
            <w:tcW w:type="dxa" w:w="2160"/>
          </w:tcPr>
          <w:p>
            <w:r>
              <w:t>OEM-Approval</w:t>
            </w:r>
          </w:p>
        </w:tc>
        <w:tc>
          <w:tcPr>
            <w:tcW w:type="dxa" w:w="2160"/>
          </w:tcPr>
          <w:p>
            <w:r>
              <w:t>BMW + STE + MBZ benachrichtigt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  <w:tc>
          <w:tcPr>
            <w:tcW w:type="dxa" w:w="2160"/>
          </w:tcPr>
          <w:p>
            <w:r>
              <w:t>Re-PPAP-Level 3 geplant</w:t>
            </w:r>
          </w:p>
        </w:tc>
      </w:tr>
      <w:tr>
        <w:tc>
          <w:tcPr>
            <w:tcW w:type="dxa" w:w="2160"/>
          </w:tcPr>
          <w:p>
            <w:r>
              <w:t>Bestandsabwertung A02</w:t>
            </w:r>
          </w:p>
        </w:tc>
        <w:tc>
          <w:tcPr>
            <w:tcW w:type="dxa" w:w="2160"/>
          </w:tcPr>
          <w:p>
            <w:r>
              <w:t>ca. 60 kEUR (3.200 Stueck)</w:t>
            </w:r>
          </w:p>
        </w:tc>
        <w:tc>
          <w:tcPr>
            <w:tcW w:type="dxa" w:w="2160"/>
          </w:tcPr>
          <w:p>
            <w:r>
              <w:t>akzeptabel</w:t>
            </w:r>
          </w:p>
        </w:tc>
        <w:tc>
          <w:tcPr>
            <w:tcW w:type="dxa" w:w="2160"/>
          </w:tcPr>
          <w:p>
            <w:r>
              <w:t>Abverkauf bis SOP A03</w:t>
            </w:r>
          </w:p>
        </w:tc>
      </w:tr>
      <w:tr>
        <w:tc>
          <w:tcPr>
            <w:tcW w:type="dxa" w:w="2160"/>
          </w:tcPr>
          <w:p>
            <w:r>
              <w:t>FuSi-Argumentation</w:t>
            </w:r>
          </w:p>
        </w:tc>
        <w:tc>
          <w:tcPr>
            <w:tcW w:type="dxa" w:w="2160"/>
          </w:tcPr>
          <w:p>
            <w:r>
              <w:t>Sicherheitsnachweis ASIL B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  <w:tc>
          <w:tcPr>
            <w:tcW w:type="dxa" w:w="2160"/>
          </w:tcPr>
          <w:p>
            <w:r>
              <w:t>Safety Case Update CR-19</w:t>
            </w:r>
          </w:p>
        </w:tc>
      </w:tr>
    </w:tbl>
    <w:p>
      <w:pPr>
        <w:pStyle w:val="Heading3"/>
      </w:pPr>
      <w:r>
        <w:t>4. Validierungs- und Abnahmeplan</w:t>
      </w:r>
    </w:p>
    <w:p>
      <w:r>
        <w:t>Vor SOP A03 erfolgt eine 3-stufige Validierung: (i) Komponenten-Tests bei AT&amp;S, (ii) Funktions- und Umwelttests im Werk REG Heilbronn (Klimakammer Weiss WKL 100/40, Temperaturschock -40/+95 °C, Vibration nach LV 124), (iii) externe EMV-Pruefung bei DEKRA Stuttgart. Erwartete Pruefdauer 4 Wochen. Pilot-Run mit 250 Stueck auf Linie 4 REG am 10. Oktober 2023 geplant. Run-At-Rate-Audit durch BMW SQE am 25. Oktober 2023.</w:t>
      </w:r>
    </w:p>
    <w:p>
      <w:pPr>
        <w:pStyle w:val="Heading3"/>
      </w:pPr>
      <w:r>
        <w:t>5. Aenderungsmanagement und Verteiler</w:t>
      </w:r>
    </w:p>
    <w:p>
      <w:r>
        <w:t>Aenderungs-Workflow erfolgt in OneQMS (Workflow-ID OQMS-ECO-2023-013). Alle Engineering-, Q-, Produktions- und OEM-Account-Manager werden via PCN (Process Change Notification) gem. VDA-Schema informiert. Aktualisierung Control Plan, PFMEA (RPN-Neubewertung Filter), Stueckliste (BoM), SAP-MM-Stammdaten sowie Pruefadapter PAd-ADAS-014 (Software-Update). Aufnahme in Konzern-Lessons-Learned LL-2023-082.</w:t>
      </w:r>
    </w:p>
    <w:p>
      <w:pPr>
        <w:pStyle w:val="Heading3"/>
      </w:pPr>
      <w:r>
        <w:t>6. Freigabe</w:t>
      </w:r>
    </w:p>
    <w:p>
      <w:r>
        <w:t>Ort, Datum: Stuttgart, den 15. September 2023</w:t>
      </w:r>
    </w:p>
    <w:p>
      <w:r>
        <w:t>_________________________            _________________________</w:t>
        <w:br/>
        <w:t>Dr. Markus Hauser                          Sabine Brand</w:t>
        <w:br/>
        <w:t>Engineering Lead                          Leitung QM Konzern</w:t>
        <w:br/>
        <w:t>Brennhagen Software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