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Managementbewertung Brennhagen Elektronik GmbH 2023</w:t>
      </w:r>
    </w:p>
    <w:p/>
    <w:p>
      <w:pPr>
        <w:pStyle w:val="Heading3"/>
      </w:pPr>
      <w:r>
        <w:t>1. Sitzungsrahmen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Sitzungs-Nr.</w:t>
            </w:r>
          </w:p>
        </w:tc>
        <w:tc>
          <w:tcPr>
            <w:tcW w:type="dxa" w:w="4320"/>
          </w:tcPr>
          <w:p>
            <w:r>
              <w:t>MR-REG-2023-01</w:t>
            </w:r>
          </w:p>
        </w:tc>
      </w:tr>
      <w:tr>
        <w:tc>
          <w:tcPr>
            <w:tcW w:type="dxa" w:w="4320"/>
          </w:tcPr>
          <w:p>
            <w:r>
              <w:t>Datum / Ort</w:t>
            </w:r>
          </w:p>
        </w:tc>
        <w:tc>
          <w:tcPr>
            <w:tcW w:type="dxa" w:w="4320"/>
          </w:tcPr>
          <w:p>
            <w:r>
              <w:t>15.12.2023, Heilbronn (DE)</w:t>
            </w:r>
          </w:p>
        </w:tc>
      </w:tr>
      <w:tr>
        <w:tc>
          <w:tcPr>
            <w:tcW w:type="dxa" w:w="4320"/>
          </w:tcPr>
          <w:p>
            <w:r>
              <w:t>Vorsitz</w:t>
            </w:r>
          </w:p>
        </w:tc>
        <w:tc>
          <w:tcPr>
            <w:tcW w:type="dxa" w:w="4320"/>
          </w:tcPr>
          <w:p>
            <w:r>
              <w:t>Andreas Maier</w:t>
            </w:r>
          </w:p>
        </w:tc>
      </w:tr>
      <w:tr>
        <w:tc>
          <w:tcPr>
            <w:tcW w:type="dxa" w:w="4320"/>
          </w:tcPr>
          <w:p>
            <w:r>
              <w:t>Teilnehmer</w:t>
            </w:r>
          </w:p>
        </w:tc>
        <w:tc>
          <w:tcPr>
            <w:tcW w:type="dxa" w:w="4320"/>
          </w:tcPr>
          <w:p>
            <w:r>
              <w:t>Werkleitung, QM, Produktion, Engineering, HR, Controlling, Konzern-Q (Brand)</w:t>
            </w:r>
          </w:p>
        </w:tc>
      </w:tr>
      <w:tr>
        <w:tc>
          <w:tcPr>
            <w:tcW w:type="dxa" w:w="4320"/>
          </w:tcPr>
          <w:p>
            <w:r>
              <w:t>Auditperiode</w:t>
            </w:r>
          </w:p>
        </w:tc>
        <w:tc>
          <w:tcPr>
            <w:tcW w:type="dxa" w:w="4320"/>
          </w:tcPr>
          <w:p>
            <w:r>
              <w:t>01.01.2023 – 30.11.2023</w:t>
            </w:r>
          </w:p>
        </w:tc>
      </w:tr>
      <w:tr>
        <w:tc>
          <w:tcPr>
            <w:tcW w:type="dxa" w:w="4320"/>
          </w:tcPr>
          <w:p>
            <w:r>
              <w:t>Berichtsstandard</w:t>
            </w:r>
          </w:p>
        </w:tc>
        <w:tc>
          <w:tcPr>
            <w:tcW w:type="dxa" w:w="4320"/>
          </w:tcPr>
          <w:p>
            <w:r>
              <w:t>IATF 16949 Klausel 9.3 (Managementbewertung)</w:t>
            </w:r>
          </w:p>
        </w:tc>
      </w:tr>
      <w:tr>
        <w:tc>
          <w:tcPr>
            <w:tcW w:type="dxa" w:w="4320"/>
          </w:tcPr>
          <w:p>
            <w:r>
              <w:t>Vorbereitung</w:t>
            </w:r>
          </w:p>
        </w:tc>
        <w:tc>
          <w:tcPr>
            <w:tcW w:type="dxa" w:w="4320"/>
          </w:tcPr>
          <w:p>
            <w:r>
              <w:t>Q-Cockpit-Auswertung; KPI-Sheet OneQMS</w:t>
            </w:r>
          </w:p>
        </w:tc>
      </w:tr>
    </w:tbl>
    <w:p>
      <w:pPr>
        <w:pStyle w:val="Heading3"/>
      </w:pPr>
      <w:r>
        <w:t>2. KPI-Bilanz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Trend</w:t>
            </w:r>
          </w:p>
        </w:tc>
      </w:tr>
      <w:tr>
        <w:tc>
          <w:tcPr>
            <w:tcW w:type="dxa" w:w="2160"/>
          </w:tcPr>
          <w:p>
            <w:r>
              <w:t>Reklamations-ppm (extern)</w:t>
            </w:r>
          </w:p>
        </w:tc>
        <w:tc>
          <w:tcPr>
            <w:tcW w:type="dxa" w:w="2160"/>
          </w:tcPr>
          <w:p>
            <w:r>
              <w:t>&lt; 25 ppm</w:t>
            </w:r>
          </w:p>
        </w:tc>
        <w:tc>
          <w:tcPr>
            <w:tcW w:type="dxa" w:w="2160"/>
          </w:tcPr>
          <w:p>
            <w:r>
              <w:t>18 ppm</w:t>
            </w:r>
          </w:p>
        </w:tc>
        <w:tc>
          <w:tcPr>
            <w:tcW w:type="dxa" w:w="2160"/>
          </w:tcPr>
          <w:p>
            <w:r>
              <w:t>verbessert</w:t>
            </w:r>
          </w:p>
        </w:tc>
      </w:tr>
      <w:tr>
        <w:tc>
          <w:tcPr>
            <w:tcW w:type="dxa" w:w="2160"/>
          </w:tcPr>
          <w:p>
            <w:r>
              <w:t>Internal FPY (First Pass Yield)</w:t>
            </w:r>
          </w:p>
        </w:tc>
        <w:tc>
          <w:tcPr>
            <w:tcW w:type="dxa" w:w="2160"/>
          </w:tcPr>
          <w:p>
            <w:r>
              <w:t>&gt; 96 %</w:t>
            </w:r>
          </w:p>
        </w:tc>
        <w:tc>
          <w:tcPr>
            <w:tcW w:type="dxa" w:w="2160"/>
          </w:tcPr>
          <w:p>
            <w:r>
              <w:t>97,2 %</w:t>
            </w:r>
          </w:p>
        </w:tc>
        <w:tc>
          <w:tcPr>
            <w:tcW w:type="dxa" w:w="2160"/>
          </w:tcPr>
          <w:p>
            <w:r>
              <w:t>aufsteigend</w:t>
            </w:r>
          </w:p>
        </w:tc>
      </w:tr>
      <w:tr>
        <w:tc>
          <w:tcPr>
            <w:tcW w:type="dxa" w:w="2160"/>
          </w:tcPr>
          <w:p>
            <w:r>
              <w:t>OTD (On-Time-Delivery)</w:t>
            </w:r>
          </w:p>
        </w:tc>
        <w:tc>
          <w:tcPr>
            <w:tcW w:type="dxa" w:w="2160"/>
          </w:tcPr>
          <w:p>
            <w:r>
              <w:t>&gt; 98 %</w:t>
            </w:r>
          </w:p>
        </w:tc>
        <w:tc>
          <w:tcPr>
            <w:tcW w:type="dxa" w:w="2160"/>
          </w:tcPr>
          <w:p>
            <w:r>
              <w:t>98,4 %</w:t>
            </w:r>
          </w:p>
        </w:tc>
        <w:tc>
          <w:tcPr>
            <w:tcW w:type="dxa" w:w="2160"/>
          </w:tcPr>
          <w:p>
            <w:r>
              <w:t>stabil</w:t>
            </w:r>
          </w:p>
        </w:tc>
      </w:tr>
      <w:tr>
        <w:tc>
          <w:tcPr>
            <w:tcW w:type="dxa" w:w="2160"/>
          </w:tcPr>
          <w:p>
            <w:r>
              <w:t>OEE</w:t>
            </w:r>
          </w:p>
        </w:tc>
        <w:tc>
          <w:tcPr>
            <w:tcW w:type="dxa" w:w="2160"/>
          </w:tcPr>
          <w:p>
            <w:r>
              <w:t>&gt; 78 %</w:t>
            </w:r>
          </w:p>
        </w:tc>
        <w:tc>
          <w:tcPr>
            <w:tcW w:type="dxa" w:w="2160"/>
          </w:tcPr>
          <w:p>
            <w:r>
              <w:t>79,1 %</w:t>
            </w:r>
          </w:p>
        </w:tc>
        <w:tc>
          <w:tcPr>
            <w:tcW w:type="dxa" w:w="2160"/>
          </w:tcPr>
          <w:p>
            <w:r>
              <w:t>aufsteigend</w:t>
            </w:r>
          </w:p>
        </w:tc>
      </w:tr>
      <w:tr>
        <w:tc>
          <w:tcPr>
            <w:tcW w:type="dxa" w:w="2160"/>
          </w:tcPr>
          <w:p>
            <w:r>
              <w:t>Anzahl 8D-Reports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ruecklaeufig</w:t>
            </w:r>
          </w:p>
        </w:tc>
      </w:tr>
      <w:tr>
        <w:tc>
          <w:tcPr>
            <w:tcW w:type="dxa" w:w="2160"/>
          </w:tcPr>
          <w:p>
            <w:r>
              <w:t>Audits durch OEMs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4 (alle bestanden)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IATF-Findings (extern, Surveillance)</w:t>
            </w:r>
          </w:p>
        </w:tc>
        <w:tc>
          <w:tcPr>
            <w:tcW w:type="dxa" w:w="2160"/>
          </w:tcPr>
          <w:p>
            <w:r>
              <w:t>0 Major</w:t>
            </w:r>
          </w:p>
        </w:tc>
        <w:tc>
          <w:tcPr>
            <w:tcW w:type="dxa" w:w="2160"/>
          </w:tcPr>
          <w:p>
            <w:r>
              <w:t>0 Major / 3 Minor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Mitarbeiterzufriedenheit Q (Umfrage)</w:t>
            </w:r>
          </w:p>
        </w:tc>
        <w:tc>
          <w:tcPr>
            <w:tcW w:type="dxa" w:w="2160"/>
          </w:tcPr>
          <w:p>
            <w:r>
              <w:t>&gt; 75 %</w:t>
            </w:r>
          </w:p>
        </w:tc>
        <w:tc>
          <w:tcPr>
            <w:tcW w:type="dxa" w:w="2160"/>
          </w:tcPr>
          <w:p>
            <w:r>
              <w:t>78 %</w:t>
            </w:r>
          </w:p>
        </w:tc>
        <w:tc>
          <w:tcPr>
            <w:tcW w:type="dxa" w:w="2160"/>
          </w:tcPr>
          <w:p>
            <w:r>
              <w:t>aufsteigend</w:t>
            </w:r>
          </w:p>
        </w:tc>
      </w:tr>
      <w:tr>
        <w:tc>
          <w:tcPr>
            <w:tcW w:type="dxa" w:w="2160"/>
          </w:tcPr>
          <w:p>
            <w:r>
              <w:t>Kosten der Nichtqualitaet (CoNQ)</w:t>
            </w:r>
          </w:p>
        </w:tc>
        <w:tc>
          <w:tcPr>
            <w:tcW w:type="dxa" w:w="2160"/>
          </w:tcPr>
          <w:p>
            <w:r>
              <w:t>&lt; 1,8 % vom Umsatz</w:t>
            </w:r>
          </w:p>
        </w:tc>
        <w:tc>
          <w:tcPr>
            <w:tcW w:type="dxa" w:w="2160"/>
          </w:tcPr>
          <w:p>
            <w:r>
              <w:t>1,6 %</w:t>
            </w:r>
          </w:p>
        </w:tc>
        <w:tc>
          <w:tcPr>
            <w:tcW w:type="dxa" w:w="2160"/>
          </w:tcPr>
          <w:p>
            <w:r>
              <w:t>verbessert</w:t>
            </w:r>
          </w:p>
        </w:tc>
      </w:tr>
      <w:tr>
        <w:tc>
          <w:tcPr>
            <w:tcW w:type="dxa" w:w="2160"/>
          </w:tcPr>
          <w:p>
            <w:r>
              <w:t>Anzahl Verbesserungsvorschlaege</w:t>
            </w:r>
          </w:p>
        </w:tc>
        <w:tc>
          <w:tcPr>
            <w:tcW w:type="dxa" w:w="2160"/>
          </w:tcPr>
          <w:p>
            <w:r>
              <w:t>&gt; 200</w:t>
            </w:r>
          </w:p>
        </w:tc>
        <w:tc>
          <w:tcPr>
            <w:tcW w:type="dxa" w:w="2160"/>
          </w:tcPr>
          <w:p>
            <w:r>
              <w:t>247</w:t>
            </w:r>
          </w:p>
        </w:tc>
        <w:tc>
          <w:tcPr>
            <w:tcW w:type="dxa" w:w="2160"/>
          </w:tcPr>
          <w:p>
            <w:r>
              <w:t>aufsteigend</w:t>
            </w:r>
          </w:p>
        </w:tc>
      </w:tr>
    </w:tbl>
    <w:p>
      <w:pPr>
        <w:pStyle w:val="Heading3"/>
      </w:pPr>
      <w:r>
        <w:t>3. Bewertung Q-Management-System</w:t>
      </w:r>
    </w:p>
    <w:p>
      <w:r>
        <w:t>Das Q-System des Werks Brennhagen Elektronik GmbH hat sich im Berichtszeitraum als geeignet, angemessen und wirksam erwiesen. Die zentralen Q-Ziele wurden ueberwiegend erreicht, die Surveillance-Audits IATF 16949 und VDA 6.3 wurden ohne Major-Findings bestanden. Aenderungen im externen Kontext (z. B. neue OEM-CSR von BMW und Stellantis, geopolitische Lieferkettenrisiken Halbleiter, regulatorische Vorgaben Cybersecurity ISO/SAE 21434) wurden in der Risikomatrix beruecksichtigt. Ressourcenbedarf und -allokation wurde ueberprueft und an die Werkleitung beziehungsweise den Vorstand zur Genehmigung vorgelegt.</w:t>
      </w:r>
    </w:p>
    <w:p>
      <w:pPr>
        <w:pStyle w:val="Heading3"/>
      </w:pPr>
      <w:r>
        <w:t>4. Beschluesse / Massnahmen</w:t>
      </w:r>
    </w:p>
    <w:p>
      <w:r>
        <w:t>Beschlossen wurden: (i) Erhoehung Investitionsbudget Pruefmittel 2024 um 220 kEUR; (ii) Einfuehrung Q-Champions-Programm auf Linienebene Q1/24; (iii) Aufstockung Reliability-Team um 2 FTE; (iv) Foerderung Schwarzgurt-DMAIC fuer drei Schluesselmitarbeiter; (v) Roll-out Andon-Boards in allen Produktionslinien bis Q3/24; (vi) Vorbereitung Re-Zertifizierung IATF 16949 (Audittermin Q3/2024); (vii) verstaerkte Lieferantenaudits VDA 6.3 fuer kritische Sub-Tier (Schaltschuetze, Pyrotechnik); (viii) Etablierung eines monatlichen Q-Reviews mit OEM-SQE per Teams. Alle Massnahmen werden im OneQMS getrackt; quartalsweises Reporting an die Konzern-Q. Naechste Managementbewertung in Q4/2024, alternativ ausserordentliche Sitzung bei Major-Q-Eskalation.</w:t>
      </w:r>
    </w:p>
    <w:p>
      <w:pPr>
        <w:pStyle w:val="Heading3"/>
      </w:pPr>
      <w:r>
        <w:t>5. Unterschriften</w:t>
      </w:r>
    </w:p>
    <w:p>
      <w:r>
        <w:t>Ort, Datum: Heilbronn, den 15. Dezember 2023</w:t>
      </w:r>
    </w:p>
    <w:p>
      <w:r>
        <w:t>_________________________            _________________________</w:t>
        <w:br/>
        <w:t>Andreas Maier                          Sabine Brand</w:t>
        <w:br/>
        <w:t>Werkleitung                          Leitung QM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