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MSA-Studie MSA-2023-017</w:t>
      </w:r>
    </w:p>
    <w:p/>
    <w:p>
      <w:pPr>
        <w:pStyle w:val="Heading3"/>
      </w:pPr>
      <w:r>
        <w:t>1. Studienkopf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Studien-Nr.</w:t>
            </w:r>
          </w:p>
        </w:tc>
        <w:tc>
          <w:tcPr>
            <w:tcW w:type="dxa" w:w="4320"/>
          </w:tcPr>
          <w:p>
            <w:r>
              <w:t>MSA-2023-017</w:t>
            </w:r>
          </w:p>
        </w:tc>
      </w:tr>
      <w:tr>
        <w:tc>
          <w:tcPr>
            <w:tcW w:type="dxa" w:w="4320"/>
          </w:tcPr>
          <w:p>
            <w:r>
              <w:t>Pruefmittel</w:t>
            </w:r>
          </w:p>
        </w:tc>
        <w:tc>
          <w:tcPr>
            <w:tcW w:type="dxa" w:w="4320"/>
          </w:tcPr>
          <w:p>
            <w:r>
              <w:t>Koordinatenmessmaschine Zeiss CONTURA G2 (Inv. KMG-014)</w:t>
            </w:r>
          </w:p>
        </w:tc>
      </w:tr>
      <w:tr>
        <w:tc>
          <w:tcPr>
            <w:tcW w:type="dxa" w:w="4320"/>
          </w:tcPr>
          <w:p>
            <w:r>
              <w:t>Messmerkmal</w:t>
            </w:r>
          </w:p>
        </w:tc>
        <w:tc>
          <w:tcPr>
            <w:tcW w:type="dxa" w:w="4320"/>
          </w:tcPr>
          <w:p>
            <w:r>
              <w:t>Bohrungs-Durchmesser Steckergehaeuse</w:t>
            </w:r>
          </w:p>
        </w:tc>
      </w:tr>
      <w:tr>
        <w:tc>
          <w:tcPr>
            <w:tcW w:type="dxa" w:w="4320"/>
          </w:tcPr>
          <w:p>
            <w:r>
              <w:t>Sollwert / Toleranz</w:t>
            </w:r>
          </w:p>
        </w:tc>
        <w:tc>
          <w:tcPr>
            <w:tcW w:type="dxa" w:w="4320"/>
          </w:tcPr>
          <w:p>
            <w:r>
              <w:t>8,000 mm +/- 0,050 mm</w:t>
            </w:r>
          </w:p>
        </w:tc>
      </w:tr>
      <w:tr>
        <w:tc>
          <w:tcPr>
            <w:tcW w:type="dxa" w:w="4320"/>
          </w:tcPr>
          <w:p>
            <w:r>
              <w:t>Pruefverfahren</w:t>
            </w:r>
          </w:p>
        </w:tc>
        <w:tc>
          <w:tcPr>
            <w:tcW w:type="dxa" w:w="4320"/>
          </w:tcPr>
          <w:p>
            <w:r>
              <w:t>Type-1 Studie (Cg/Cgk) + Gage R&amp;R nach AIAG MSA 4th Ed.</w:t>
            </w:r>
          </w:p>
        </w:tc>
      </w:tr>
      <w:tr>
        <w:tc>
          <w:tcPr>
            <w:tcW w:type="dxa" w:w="4320"/>
          </w:tcPr>
          <w:p>
            <w:r>
              <w:t>Anzahl Teile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Anzahl Bediener</w:t>
            </w:r>
          </w:p>
        </w:tc>
        <w:tc>
          <w:tcPr>
            <w:tcW w:type="dxa" w:w="4320"/>
          </w:tcPr>
          <w:p>
            <w:r>
              <w:t>3 (Schicht A/B/C)</w:t>
            </w:r>
          </w:p>
        </w:tc>
      </w:tr>
      <w:tr>
        <w:tc>
          <w:tcPr>
            <w:tcW w:type="dxa" w:w="4320"/>
          </w:tcPr>
          <w:p>
            <w:r>
              <w:t>Anzahl Wiederholungen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Datum Durchfuehrung</w:t>
            </w:r>
          </w:p>
        </w:tc>
        <w:tc>
          <w:tcPr>
            <w:tcW w:type="dxa" w:w="4320"/>
          </w:tcPr>
          <w:p>
            <w:r>
              <w:t>2023-09-14</w:t>
            </w:r>
          </w:p>
        </w:tc>
      </w:tr>
      <w:tr>
        <w:tc>
          <w:tcPr>
            <w:tcW w:type="dxa" w:w="4320"/>
          </w:tcPr>
          <w:p>
            <w:r>
              <w:t>Verantwortlich</w:t>
            </w:r>
          </w:p>
        </w:tc>
        <w:tc>
          <w:tcPr>
            <w:tcW w:type="dxa" w:w="4320"/>
          </w:tcPr>
          <w:p>
            <w:r>
              <w:t>Carolin Voss, Reliability Engineering REG</w:t>
            </w:r>
          </w:p>
        </w:tc>
      </w:tr>
    </w:tbl>
    <w:p>
      <w:pPr>
        <w:pStyle w:val="Heading3"/>
      </w:pPr>
      <w:r>
        <w:t>2. Type-1 Studie (Cg / Cgk)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Kennzahl</w:t>
            </w:r>
          </w:p>
        </w:tc>
        <w:tc>
          <w:tcPr>
            <w:tcW w:type="dxa" w:w="2160"/>
          </w:tcPr>
          <w:p>
            <w:r>
              <w:t>Wert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Mittelwert Normal</w:t>
            </w:r>
          </w:p>
        </w:tc>
        <w:tc>
          <w:tcPr>
            <w:tcW w:type="dxa" w:w="2160"/>
          </w:tcPr>
          <w:p>
            <w:r>
              <w:t>8,002 mm</w:t>
            </w:r>
          </w:p>
        </w:tc>
        <w:tc>
          <w:tcPr>
            <w:tcW w:type="dxa" w:w="2160"/>
          </w:tcPr>
          <w:p>
            <w:r>
              <w:t>8,000 mm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  <w:tr>
        <w:tc>
          <w:tcPr>
            <w:tcW w:type="dxa" w:w="2160"/>
          </w:tcPr>
          <w:p>
            <w:r>
              <w:t>Standardabweichung sg</w:t>
            </w:r>
          </w:p>
        </w:tc>
        <w:tc>
          <w:tcPr>
            <w:tcW w:type="dxa" w:w="2160"/>
          </w:tcPr>
          <w:p>
            <w:r>
              <w:t>0,0021 mm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Cg (= 0,2 x T / 6 sg)</w:t>
            </w:r>
          </w:p>
        </w:tc>
        <w:tc>
          <w:tcPr>
            <w:tcW w:type="dxa" w:w="2160"/>
          </w:tcPr>
          <w:p>
            <w:r>
              <w:t>1,59</w:t>
            </w:r>
          </w:p>
        </w:tc>
        <w:tc>
          <w:tcPr>
            <w:tcW w:type="dxa" w:w="2160"/>
          </w:tcPr>
          <w:p>
            <w:r>
              <w:t>&gt;= 1,33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  <w:tr>
        <w:tc>
          <w:tcPr>
            <w:tcW w:type="dxa" w:w="2160"/>
          </w:tcPr>
          <w:p>
            <w:r>
              <w:t>Cgk</w:t>
            </w:r>
          </w:p>
        </w:tc>
        <w:tc>
          <w:tcPr>
            <w:tcW w:type="dxa" w:w="2160"/>
          </w:tcPr>
          <w:p>
            <w:r>
              <w:t>1,42</w:t>
            </w:r>
          </w:p>
        </w:tc>
        <w:tc>
          <w:tcPr>
            <w:tcW w:type="dxa" w:w="2160"/>
          </w:tcPr>
          <w:p>
            <w:r>
              <w:t>&gt;= 1,33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  <w:tr>
        <w:tc>
          <w:tcPr>
            <w:tcW w:type="dxa" w:w="2160"/>
          </w:tcPr>
          <w:p>
            <w:r>
              <w:t>Bias</w:t>
            </w:r>
          </w:p>
        </w:tc>
        <w:tc>
          <w:tcPr>
            <w:tcW w:type="dxa" w:w="2160"/>
          </w:tcPr>
          <w:p>
            <w:r>
              <w:t>+0,002 mm</w:t>
            </w:r>
          </w:p>
        </w:tc>
        <w:tc>
          <w:tcPr>
            <w:tcW w:type="dxa" w:w="2160"/>
          </w:tcPr>
          <w:p>
            <w:r>
              <w:t>|Bias| &lt; 0,1 x T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</w:tbl>
    <w:p>
      <w:pPr>
        <w:pStyle w:val="Heading3"/>
      </w:pPr>
      <w:r>
        <w:t>3. Gage R&amp;R (ANOVA-Methode)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Komponente</w:t>
            </w:r>
          </w:p>
        </w:tc>
        <w:tc>
          <w:tcPr>
            <w:tcW w:type="dxa" w:w="2160"/>
          </w:tcPr>
          <w:p>
            <w:r>
              <w:t>Standardabweichung</w:t>
            </w:r>
          </w:p>
        </w:tc>
        <w:tc>
          <w:tcPr>
            <w:tcW w:type="dxa" w:w="2160"/>
          </w:tcPr>
          <w:p>
            <w:r>
              <w:t>% Contribution</w:t>
            </w:r>
          </w:p>
        </w:tc>
        <w:tc>
          <w:tcPr>
            <w:tcW w:type="dxa" w:w="2160"/>
          </w:tcPr>
          <w:p>
            <w:r>
              <w:t>% Study Variation</w:t>
            </w:r>
          </w:p>
        </w:tc>
      </w:tr>
      <w:tr>
        <w:tc>
          <w:tcPr>
            <w:tcW w:type="dxa" w:w="2160"/>
          </w:tcPr>
          <w:p>
            <w:r>
              <w:t>Wiederholpraezision (EV)</w:t>
            </w:r>
          </w:p>
        </w:tc>
        <w:tc>
          <w:tcPr>
            <w:tcW w:type="dxa" w:w="2160"/>
          </w:tcPr>
          <w:p>
            <w:r>
              <w:t>0,0024 mm</w:t>
            </w:r>
          </w:p>
        </w:tc>
        <w:tc>
          <w:tcPr>
            <w:tcW w:type="dxa" w:w="2160"/>
          </w:tcPr>
          <w:p>
            <w:r>
              <w:t>4,8 %</w:t>
            </w:r>
          </w:p>
        </w:tc>
        <w:tc>
          <w:tcPr>
            <w:tcW w:type="dxa" w:w="2160"/>
          </w:tcPr>
          <w:p>
            <w:r>
              <w:t>21,9 %</w:t>
            </w:r>
          </w:p>
        </w:tc>
      </w:tr>
      <w:tr>
        <w:tc>
          <w:tcPr>
            <w:tcW w:type="dxa" w:w="2160"/>
          </w:tcPr>
          <w:p>
            <w:r>
              <w:t>Vergleichspraezision (AV)</w:t>
            </w:r>
          </w:p>
        </w:tc>
        <w:tc>
          <w:tcPr>
            <w:tcW w:type="dxa" w:w="2160"/>
          </w:tcPr>
          <w:p>
            <w:r>
              <w:t>0,0011 mm</w:t>
            </w:r>
          </w:p>
        </w:tc>
        <w:tc>
          <w:tcPr>
            <w:tcW w:type="dxa" w:w="2160"/>
          </w:tcPr>
          <w:p>
            <w:r>
              <w:t>1,1 %</w:t>
            </w:r>
          </w:p>
        </w:tc>
        <w:tc>
          <w:tcPr>
            <w:tcW w:type="dxa" w:w="2160"/>
          </w:tcPr>
          <w:p>
            <w:r>
              <w:t>10,3 %</w:t>
            </w:r>
          </w:p>
        </w:tc>
      </w:tr>
      <w:tr>
        <w:tc>
          <w:tcPr>
            <w:tcW w:type="dxa" w:w="2160"/>
          </w:tcPr>
          <w:p>
            <w:r>
              <w:t>Gage R&amp;R total</w:t>
            </w:r>
          </w:p>
        </w:tc>
        <w:tc>
          <w:tcPr>
            <w:tcW w:type="dxa" w:w="2160"/>
          </w:tcPr>
          <w:p>
            <w:r>
              <w:t>0,0026 mm</w:t>
            </w:r>
          </w:p>
        </w:tc>
        <w:tc>
          <w:tcPr>
            <w:tcW w:type="dxa" w:w="2160"/>
          </w:tcPr>
          <w:p>
            <w:r>
              <w:t>5,9 %</w:t>
            </w:r>
          </w:p>
        </w:tc>
        <w:tc>
          <w:tcPr>
            <w:tcW w:type="dxa" w:w="2160"/>
          </w:tcPr>
          <w:p>
            <w:r>
              <w:t>24,3 %</w:t>
            </w:r>
          </w:p>
        </w:tc>
      </w:tr>
      <w:tr>
        <w:tc>
          <w:tcPr>
            <w:tcW w:type="dxa" w:w="2160"/>
          </w:tcPr>
          <w:p>
            <w:r>
              <w:t>Teil-zu-Teil (PV)</w:t>
            </w:r>
          </w:p>
        </w:tc>
        <w:tc>
          <w:tcPr>
            <w:tcW w:type="dxa" w:w="2160"/>
          </w:tcPr>
          <w:p>
            <w:r>
              <w:t>0,0102 mm</w:t>
            </w:r>
          </w:p>
        </w:tc>
        <w:tc>
          <w:tcPr>
            <w:tcW w:type="dxa" w:w="2160"/>
          </w:tcPr>
          <w:p>
            <w:r>
              <w:t>94,1 %</w:t>
            </w:r>
          </w:p>
        </w:tc>
        <w:tc>
          <w:tcPr>
            <w:tcW w:type="dxa" w:w="2160"/>
          </w:tcPr>
          <w:p>
            <w:r>
              <w:t>97,0 %</w:t>
            </w:r>
          </w:p>
        </w:tc>
      </w:tr>
      <w:tr>
        <w:tc>
          <w:tcPr>
            <w:tcW w:type="dxa" w:w="2160"/>
          </w:tcPr>
          <w:p>
            <w:r>
              <w:t>Total Variation TV</w:t>
            </w:r>
          </w:p>
        </w:tc>
        <w:tc>
          <w:tcPr>
            <w:tcW w:type="dxa" w:w="2160"/>
          </w:tcPr>
          <w:p>
            <w:r>
              <w:t>0,0105 mm</w:t>
            </w:r>
          </w:p>
        </w:tc>
        <w:tc>
          <w:tcPr>
            <w:tcW w:type="dxa" w:w="2160"/>
          </w:tcPr>
          <w:p>
            <w:r>
              <w:t>100 %</w:t>
            </w:r>
          </w:p>
        </w:tc>
        <w:tc>
          <w:tcPr>
            <w:tcW w:type="dxa" w:w="2160"/>
          </w:tcPr>
          <w:p>
            <w:r>
              <w:t>100 %</w:t>
            </w:r>
          </w:p>
        </w:tc>
      </w:tr>
    </w:tbl>
    <w:p>
      <w:pPr>
        <w:pStyle w:val="Heading3"/>
      </w:pPr>
      <w:r>
        <w:t>4. Bewertung und Freigabe</w:t>
      </w:r>
    </w:p>
    <w:p>
      <w:r>
        <w:t>Das Pruefmittel ist gemaess AIAG-MSA-Richtlinie freigegeben (% Gage R&amp;R 5,9 %, &lt; 10 % akzeptiert ohne Auflagen). Die Anzahl unterscheidbarer Klassen (ndc) betraegt 7, geforderter Mindestwert ndc &gt;= 5 ist erfuellt. Die Wiederholbarkeit dominiert ueber die Vergleichbarkeit, was auf eine geringe Bediener-Streuung hinweist (Plausibilitaet gegeben, da KMG vollautomatisches Messprogramm CMM-PRG-008 ausfuehrt). Pruefmittel wird in Q-DAS qs-STAT mit dem Status 'freigegeben' versehen. Naechste Wiederholungsstudie in 12 Monaten oder bei Werkzeug-/Programmaenderung.</w:t>
      </w:r>
    </w:p>
    <w:p>
      <w:pPr>
        <w:pStyle w:val="Heading3"/>
      </w:pPr>
      <w:r>
        <w:t>5. Verteiler / Unterschriften</w:t>
      </w:r>
    </w:p>
    <w:p>
      <w:r>
        <w:t>Ort, Datum: Heilbronn, den 14. September 2023</w:t>
      </w:r>
    </w:p>
    <w:p>
      <w:r>
        <w:t>_________________________            _________________________</w:t>
        <w:br/>
        <w:t>Carolin Voss                          Sabine Brand</w:t>
        <w:br/>
        <w:t>Reliability Engineering                          Leitung QM Konzern</w:t>
        <w:br/>
        <w:t>Brennhagen Elektronik GmbH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