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Radar Fusion ECU V4D fuer BMW Group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BMW-9214-ADAS-V4D-A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CP-ADAS-V4D-Rev05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BMW-CSR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RAE-ADAS-V4D-A02 (Radar Fusion ECU V4D, Level-2/3 ADAS Steuergeraet) vollumfaenglich den vereinbarten Kundenanforderungen der BMW Group entsprechen. Die Erstmuster wurden unter Serienbedingungen im Werk REG Heilbronn am 2022-09-15 in einer Stichprobengroesse von 300 Stueck (Achtstundenproduktion auf Serienanlagen) gefertigt. Es wurden 30 Teile vermessen, 5 Teile als physische Muster beigelegt. Spezifikation: TI TDA4VM SoC, 4 Radar-Eingaenge, FuSi ASIL B.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