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Radar Fusion ECU V4D fuer Continental AG (2023)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Continental AG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Tier-1 Plattform CRX-2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CON-9214-ADAS-V4D-A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RAE-ADAS-V4D-A02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2023-10-31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18.09.2023,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CP-ADAS-V4D-Rev05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CON-CSR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RAE-ADAS-V4D-A02 (Radar Fusion ECU V4D, Level-2/3 ADAS Steuergeraet) vollumfaenglich den vereinbarten Kundenanforderungen der Continental AG entsprechen. Die Erstmuster wurden unter Serienbedingungen im Werk REG Heilbronn am 2023-09-15 in einer Stichprobengroesse von 300 Stueck (Achtstundenproduktion auf Serienanlagen) gefertigt. Es wurden 30 Teile vermessen, 5 Teile als physische Muster beigelegt. Spezifikation: TI TDA4VM SoC, 4 Radar-Eingaenge, FuSi ASIL B.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