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Powertrain-ECU Gen3 fuer Mercedes-Benz Group AG (2022)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Mercedes-Benz Group AG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EQS V297, S-Klasse W223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MBZ-9214-ECU-900-A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RAE-ECU-900-A02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2022-09-15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2022-10-31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18.09.2022,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CP-ECU-900-Rev05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MBZ-CSR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RAE-ECU-900-A02 (Powertrain-ECU Gen3, Antriebsstrang-Steuergeraet) vollumfaenglich den vereinbarten Kundenanforderungen der Mercedes-Benz Group AG entsprechen. Die Erstmuster wurden unter Serienbedingungen im Werk REG Heilbronn am 2022-09-15 in einer Stichprobengroesse von 300 Stueck (Achtstundenproduktion auf Serienanlagen) gefertigt. Es wurden 30 Teile vermessen, 5 Teile als physische Muster beigelegt. Spezifikation: Infineon AURIX TC399, ASIL D, 4 MB Flash.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2022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