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Radar Fusion ECU V4D fuer Stellantis N.V.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STE-9214-ADAS-V4D-A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CP-ADAS-V4D-Rev05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STE-CSR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RAE-ADAS-V4D-A02 (Radar Fusion ECU V4D, Level-2/3 ADAS Steuergeraet) vollumfaenglich den vereinbarten Kundenanforderungen der Stellantis N.V. entsprechen. Die Erstmuster wurden unter Serienbedingungen im Werk REG Heilbronn am 2023-09-15 in einer Stichprobengroesse von 300 Stueck (Achtstundenproduktion auf Serienanlagen) gefertigt. Es wurden 30 Teile vermessen, 5 Teile als physische Muster beigelegt. Spezifikation: TI TDA4VM SoC, 4 Radar-Eingaenge, FuSi ASIL B.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