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Interner Kontrollbericht RCZ Brno — Q3/2020</w:t>
      </w:r>
    </w:p>
    <w:p/>
    <w:p>
      <w:pPr>
        <w:pStyle w:val="Heading3"/>
      </w:pPr>
      <w:r>
        <w:t>1. Berichtsrahmen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Berichtsperiode</w:t>
            </w:r>
          </w:p>
        </w:tc>
        <w:tc>
          <w:tcPr>
            <w:tcW w:type="dxa" w:w="4320"/>
          </w:tcPr>
          <w:p>
            <w:r>
              <w:t>Q3/2020</w:t>
            </w:r>
          </w:p>
        </w:tc>
      </w:tr>
      <w:tr>
        <w:tc>
          <w:tcPr>
            <w:tcW w:type="dxa" w:w="4320"/>
          </w:tcPr>
          <w:p>
            <w:r>
              <w:t>Bericht</w:t>
            </w:r>
          </w:p>
        </w:tc>
        <w:tc>
          <w:tcPr>
            <w:tcW w:type="dxa" w:w="4320"/>
          </w:tcPr>
          <w:p>
            <w:r>
              <w:t>Internal Control / Internal Audit (Werk RCZ Brno)</w:t>
            </w:r>
          </w:p>
        </w:tc>
      </w:tr>
      <w:tr>
        <w:tc>
          <w:tcPr>
            <w:tcW w:type="dxa" w:w="4320"/>
          </w:tcPr>
          <w:p>
            <w:r>
              <w:t>Adressat</w:t>
            </w:r>
          </w:p>
        </w:tc>
        <w:tc>
          <w:tcPr>
            <w:tcW w:type="dxa" w:w="4320"/>
          </w:tcPr>
          <w:p>
            <w:r>
              <w:t>Konzern Audit Committee (Dr. Steinbrueck), CAE (Buehler)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Eva Cerna (Q-Leitung RCZ), Vladimir Hrdy (Controlling RCZ)</w:t>
            </w:r>
          </w:p>
        </w:tc>
      </w:tr>
      <w:tr>
        <w:tc>
          <w:tcPr>
            <w:tcW w:type="dxa" w:w="4320"/>
          </w:tcPr>
          <w:p>
            <w:r>
              <w:t>Erstelldatum</w:t>
            </w:r>
          </w:p>
        </w:tc>
        <w:tc>
          <w:tcPr>
            <w:tcW w:type="dxa" w:w="4320"/>
          </w:tcPr>
          <w:p>
            <w:r>
              <w:t>30. September 2020</w:t>
            </w:r>
          </w:p>
        </w:tc>
      </w:tr>
      <w:tr>
        <w:tc>
          <w:tcPr>
            <w:tcW w:type="dxa" w:w="4320"/>
          </w:tcPr>
          <w:p>
            <w:r>
              <w:t>Berichtsformat</w:t>
            </w:r>
          </w:p>
        </w:tc>
        <w:tc>
          <w:tcPr>
            <w:tcW w:type="dxa" w:w="4320"/>
          </w:tcPr>
          <w:p>
            <w:r>
              <w:t>ICS-Quartalsbericht gem. Konzern-ICS-Handbuch</w:t>
            </w:r>
          </w:p>
        </w:tc>
      </w:tr>
      <w:tr>
        <w:tc>
          <w:tcPr>
            <w:tcW w:type="dxa" w:w="4320"/>
          </w:tcPr>
          <w:p>
            <w:r>
              <w:t>Reifegrad ICS RCZ</w:t>
            </w:r>
          </w:p>
        </w:tc>
        <w:tc>
          <w:tcPr>
            <w:tcW w:type="dxa" w:w="4320"/>
          </w:tcPr>
          <w:p>
            <w:r>
              <w:t>Stufe 4 von 5 (regelmaessige Operating-Effectiveness)</w:t>
            </w:r>
          </w:p>
        </w:tc>
      </w:tr>
    </w:tbl>
    <w:p>
      <w:pPr>
        <w:pStyle w:val="Heading3"/>
      </w:pPr>
      <w:r>
        <w:t>2. Kontroll-Findings (Test of Design / Operating Effectiveness)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Kontrolle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Stichprobe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Aktion</w:t>
            </w:r>
          </w:p>
        </w:tc>
      </w:tr>
      <w:tr>
        <w:tc>
          <w:tcPr>
            <w:tcW w:type="dxa" w:w="1728"/>
          </w:tcPr>
          <w:p>
            <w:r>
              <w:t>IK01</w:t>
            </w:r>
          </w:p>
        </w:tc>
        <w:tc>
          <w:tcPr>
            <w:tcW w:type="dxa" w:w="1728"/>
          </w:tcPr>
          <w:p>
            <w:r>
              <w:t>Berechtigungstrennung SAP (4-Augen-Prinzip Buchungen)</w:t>
            </w:r>
          </w:p>
        </w:tc>
        <w:tc>
          <w:tcPr>
            <w:tcW w:type="dxa" w:w="1728"/>
          </w:tcPr>
          <w:p>
            <w:r>
              <w:t>30 Belege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IK02</w:t>
            </w:r>
          </w:p>
        </w:tc>
        <w:tc>
          <w:tcPr>
            <w:tcW w:type="dxa" w:w="1728"/>
          </w:tcPr>
          <w:p>
            <w:r>
              <w:t>Quartalsweise Konto-Abstimmung (Sachkonten + Bank)</w:t>
            </w:r>
          </w:p>
        </w:tc>
        <w:tc>
          <w:tcPr>
            <w:tcW w:type="dxa" w:w="1728"/>
          </w:tcPr>
          <w:p>
            <w:r>
              <w:t>alle 24 Konten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IK03</w:t>
            </w:r>
          </w:p>
        </w:tc>
        <w:tc>
          <w:tcPr>
            <w:tcW w:type="dxa" w:w="1728"/>
          </w:tcPr>
          <w:p>
            <w:r>
              <w:t>Lieferantenstammdaten Pflege (Anlage, Aenderung, Sperre)</w:t>
            </w:r>
          </w:p>
        </w:tc>
        <w:tc>
          <w:tcPr>
            <w:tcW w:type="dxa" w:w="1728"/>
          </w:tcPr>
          <w:p>
            <w:r>
              <w:t>50 Aenderungen</w:t>
            </w:r>
          </w:p>
        </w:tc>
        <w:tc>
          <w:tcPr>
            <w:tcW w:type="dxa" w:w="1728"/>
          </w:tcPr>
          <w:p>
            <w:r>
              <w:t>Hinweis</w:t>
            </w:r>
          </w:p>
        </w:tc>
        <w:tc>
          <w:tcPr>
            <w:tcW w:type="dxa" w:w="1728"/>
          </w:tcPr>
          <w:p>
            <w:r>
              <w:t>Sondereinstellungen 12 Faelle</w:t>
            </w:r>
          </w:p>
        </w:tc>
      </w:tr>
      <w:tr>
        <w:tc>
          <w:tcPr>
            <w:tcW w:type="dxa" w:w="1728"/>
          </w:tcPr>
          <w:p>
            <w:r>
              <w:t>IK04</w:t>
            </w:r>
          </w:p>
        </w:tc>
        <w:tc>
          <w:tcPr>
            <w:tcW w:type="dxa" w:w="1728"/>
          </w:tcPr>
          <w:p>
            <w:r>
              <w:t>Reklamations-CAPA-Konsistenz (Q vs. SAP-Buchung)</w:t>
            </w:r>
          </w:p>
        </w:tc>
        <w:tc>
          <w:tcPr>
            <w:tcW w:type="dxa" w:w="1728"/>
          </w:tcPr>
          <w:p>
            <w:r>
              <w:t>20 Faelle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IK05</w:t>
            </w:r>
          </w:p>
        </w:tc>
        <w:tc>
          <w:tcPr>
            <w:tcW w:type="dxa" w:w="1728"/>
          </w:tcPr>
          <w:p>
            <w:r>
              <w:t>TPM-Wartungsfristen Maschinen</w:t>
            </w:r>
          </w:p>
        </w:tc>
        <w:tc>
          <w:tcPr>
            <w:tcW w:type="dxa" w:w="1728"/>
          </w:tcPr>
          <w:p>
            <w:r>
              <w:t>alle 18 Anlagen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IK06</w:t>
            </w:r>
          </w:p>
        </w:tc>
        <w:tc>
          <w:tcPr>
            <w:tcW w:type="dxa" w:w="1728"/>
          </w:tcPr>
          <w:p>
            <w:r>
              <w:t>Kassenfuehrung Werkskasse</w:t>
            </w:r>
          </w:p>
        </w:tc>
        <w:tc>
          <w:tcPr>
            <w:tcW w:type="dxa" w:w="1728"/>
          </w:tcPr>
          <w:p>
            <w:r>
              <w:t>alle Tage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IK07</w:t>
            </w:r>
          </w:p>
        </w:tc>
        <w:tc>
          <w:tcPr>
            <w:tcW w:type="dxa" w:w="1728"/>
          </w:tcPr>
          <w:p>
            <w:r>
              <w:t>Reisekosten-Prozess (Beleg/Genehmigung)</w:t>
            </w:r>
          </w:p>
        </w:tc>
        <w:tc>
          <w:tcPr>
            <w:tcW w:type="dxa" w:w="1728"/>
          </w:tcPr>
          <w:p>
            <w:r>
              <w:t>30 Abrechnungen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3. Detail Hinweis IK03</w:t>
      </w:r>
    </w:p>
    <w:p>
      <w:r>
        <w:t>Im Pruefumfang IK03 wurden 12 Faelle identifiziert, in denen Lieferantenstammdaten (Bankverbindung, Zahlungsbedingungen) ausserhalb des standardisierten Workflows ueber SAP-Direktbuchung durch berechtigte Power-User geaendert wurden. Die Sondereinstellungen waren in 11 von 12 Faellen sachlich gerechtfertigt und dokumentiert; in einem Fall fehlt die schriftliche Genehmigung der Werkleitung. Massnahme: Nachreichung Genehmigung und Verschaerfung des Workflow-Bypass-Verfahrens bis 31.12.2020. Verantwortlich: Vladimir Hrdy, Controlling.</w:t>
      </w:r>
    </w:p>
    <w:p>
      <w:pPr>
        <w:pStyle w:val="Heading3"/>
      </w:pPr>
      <w:r>
        <w:t>4. Zusammenfassung</w:t>
      </w:r>
    </w:p>
    <w:p>
      <w:r>
        <w:t>Keine wesentlichen Schwaechen identifiziert. Quartalsergebnis bestaetigt die Wirksamkeit der internen Kontrollen im Werk Brno. Eine Hinweis-Findung (IK03) wird mit Massnahme bis 31.12. abgestellt. Naechste Quartalspruefung im Folgequartal Q4/2020 mit Schwerpunkt Jahresabschluss-Vorbereitung.</w:t>
      </w:r>
    </w:p>
    <w:p>
      <w:pPr>
        <w:pStyle w:val="Heading3"/>
      </w:pPr>
      <w:r>
        <w:t>5. Unterschriften</w:t>
      </w:r>
    </w:p>
    <w:p>
      <w:r>
        <w:t>Ort, Datum: Brno, den 30. September 2020</w:t>
      </w:r>
    </w:p>
    <w:p>
      <w:r>
        <w:t>_________________________            _________________________</w:t>
        <w:br/>
        <w:t>Eva Cerna                          Andreas Buehler</w:t>
        <w:br/>
        <w:t>Q-Leitung RCZ Brno                          Chief Audit Executive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