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Externes IATF-Zertifikat 2023</w:t>
      </w:r>
    </w:p>
    <w:p/>
    <w:p>
      <w:pPr>
        <w:pStyle w:val="Heading3"/>
      </w:pPr>
      <w:r>
        <w:t>1. Zertifikatsangaben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Zertifikat-Nr.</w:t>
            </w:r>
          </w:p>
        </w:tc>
        <w:tc>
          <w:tcPr>
            <w:tcW w:type="dxa" w:w="4320"/>
          </w:tcPr>
          <w:p>
            <w:r>
              <w:t>IATF-DE-22148-2023</w:t>
            </w:r>
          </w:p>
        </w:tc>
      </w:tr>
      <w:tr>
        <w:tc>
          <w:tcPr>
            <w:tcW w:type="dxa" w:w="4320"/>
          </w:tcPr>
          <w:p>
            <w:r>
              <w:t>Zertifizierungsstelle (CB)</w:t>
            </w:r>
          </w:p>
        </w:tc>
        <w:tc>
          <w:tcPr>
            <w:tcW w:type="dxa" w:w="4320"/>
          </w:tcPr>
          <w:p>
            <w:r>
              <w:t>DEKRA Certification GmbH, Stuttgart</w:t>
            </w:r>
          </w:p>
        </w:tc>
      </w:tr>
      <w:tr>
        <w:tc>
          <w:tcPr>
            <w:tcW w:type="dxa" w:w="4320"/>
          </w:tcPr>
          <w:p>
            <w:r>
              <w:t>DEKRA-Zulassungs-Nr.</w:t>
            </w:r>
          </w:p>
        </w:tc>
        <w:tc>
          <w:tcPr>
            <w:tcW w:type="dxa" w:w="4320"/>
          </w:tcPr>
          <w:p>
            <w:r>
              <w:t>DE-IATF-CB-0119</w:t>
            </w:r>
          </w:p>
        </w:tc>
      </w:tr>
      <w:tr>
        <w:tc>
          <w:tcPr>
            <w:tcW w:type="dxa" w:w="4320"/>
          </w:tcPr>
          <w:p>
            <w:r>
              <w:t>IATF-Oversight-Office</w:t>
            </w:r>
          </w:p>
        </w:tc>
        <w:tc>
          <w:tcPr>
            <w:tcW w:type="dxa" w:w="4320"/>
          </w:tcPr>
          <w:p>
            <w:r>
              <w:t>VDA QMC (Frankfurt am Main)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Dr. Christian Walter (DEKRA, IATF-AI-114)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Marlene Schubert (DEKRA, IATF-AI-181)</w:t>
            </w:r>
          </w:p>
        </w:tc>
      </w:tr>
      <w:tr>
        <w:tc>
          <w:tcPr>
            <w:tcW w:type="dxa" w:w="4320"/>
          </w:tcPr>
          <w:p>
            <w:r>
              <w:t>Ausstellungsdatum</w:t>
            </w:r>
          </w:p>
        </w:tc>
        <w:tc>
          <w:tcPr>
            <w:tcW w:type="dxa" w:w="4320"/>
          </w:tcPr>
          <w:p>
            <w:r>
              <w:t>15. Oktober 2023</w:t>
            </w:r>
          </w:p>
        </w:tc>
      </w:tr>
      <w:tr>
        <w:tc>
          <w:tcPr>
            <w:tcW w:type="dxa" w:w="4320"/>
          </w:tcPr>
          <w:p>
            <w:r>
              <w:t>Gueltig ab / bis</w:t>
            </w:r>
          </w:p>
        </w:tc>
        <w:tc>
          <w:tcPr>
            <w:tcW w:type="dxa" w:w="4320"/>
          </w:tcPr>
          <w:p>
            <w:r>
              <w:t>15. Oktober 2023 / 14. Oktober 2026</w:t>
            </w:r>
          </w:p>
        </w:tc>
      </w:tr>
      <w:tr>
        <w:tc>
          <w:tcPr>
            <w:tcW w:type="dxa" w:w="4320"/>
          </w:tcPr>
          <w:p>
            <w:r>
              <w:t>Re-Zertifizierungsaudit</w:t>
            </w:r>
          </w:p>
        </w:tc>
        <w:tc>
          <w:tcPr>
            <w:tcW w:type="dxa" w:w="4320"/>
          </w:tcPr>
          <w:p>
            <w:r>
              <w:t>Q3/2026</w:t>
            </w:r>
          </w:p>
        </w:tc>
      </w:tr>
      <w:tr>
        <w:tc>
          <w:tcPr>
            <w:tcW w:type="dxa" w:w="4320"/>
          </w:tcPr>
          <w:p>
            <w:r>
              <w:t>Surveillance-Audits jaehrlich</w:t>
            </w:r>
          </w:p>
        </w:tc>
        <w:tc>
          <w:tcPr>
            <w:tcW w:type="dxa" w:w="4320"/>
          </w:tcPr>
          <w:p>
            <w:r>
              <w:t>ja, jeweils Q3</w:t>
            </w:r>
          </w:p>
        </w:tc>
      </w:tr>
      <w:tr>
        <w:tc>
          <w:tcPr>
            <w:tcW w:type="dxa" w:w="4320"/>
          </w:tcPr>
          <w:p>
            <w:r>
              <w:t>Standard</w:t>
            </w:r>
          </w:p>
        </w:tc>
        <w:tc>
          <w:tcPr>
            <w:tcW w:type="dxa" w:w="4320"/>
          </w:tcPr>
          <w:p>
            <w:r>
              <w:t>IATF 16949:2016 (Rev. 5) i. V. m. ISO 9001:2015</w:t>
            </w:r>
          </w:p>
        </w:tc>
      </w:tr>
    </w:tbl>
    <w:p>
      <w:pPr>
        <w:pStyle w:val="Heading3"/>
      </w:pPr>
      <w:r>
        <w:t>2. Anwendungsbereich (Scope)</w:t>
      </w:r>
    </w:p>
    <w:p>
      <w:r>
        <w:t>Entwicklung, Konstruktion, Industrialisierung und Produktion elektronischer Steuergeraete fuer den Automotive-Bereich, einschliesslich Infotainment, Advanced-Driver-Assistance-Systeme (ADAS), Powertrain-Steuergeraete, Batteriemanagementsysteme (BMS) und Lichtsteuergeraete. Eingeschlossen sind die Werke REG Heilbronn (Hauptproduktion DE), RPL Katowice (EMS/SMD PL), RCZ Brno (Steckverbinder CZ) und RHU Gyoer (Sensorik HU). Die Embedded-Software-Tochter RSG Muenchen ist nach ASPICE Level 2-3 separat assessiert (kein IATF-Geltungsbereich, da keine physische Produktion). Vertriebsgesellschaften (RCN Shanghai) sind ueber Remote-Site-Anhang erfasst (Sales-Support-Remote-Location nach IATF-Rules-5th Ed. Sanctioned Interpretations).</w:t>
      </w:r>
    </w:p>
    <w:p>
      <w:pPr>
        <w:pStyle w:val="Heading3"/>
      </w:pPr>
      <w:r>
        <w:t>3. Auditfeststellungen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Major Findings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Minor Findings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alle innerhalb 60 d geschlossen, CAPA-2023-0007/0011/0019</w:t>
            </w:r>
          </w:p>
        </w:tc>
      </w:tr>
      <w:tr>
        <w:tc>
          <w:tcPr>
            <w:tcW w:type="dxa" w:w="2880"/>
          </w:tcPr>
          <w:p>
            <w:r>
              <w:t>Opportunities for Improvement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in CAPA-Plan ueberfuehrt; Tracking OneQMS</w:t>
            </w:r>
          </w:p>
        </w:tc>
      </w:tr>
      <w:tr>
        <w:tc>
          <w:tcPr>
            <w:tcW w:type="dxa" w:w="2880"/>
          </w:tcPr>
          <w:p>
            <w:r>
              <w:t>Postives Audit-Highlight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Q-Champions-Programm REG (Best Practice)</w:t>
            </w:r>
          </w:p>
        </w:tc>
      </w:tr>
    </w:tbl>
    <w:p>
      <w:pPr>
        <w:pStyle w:val="Heading3"/>
      </w:pPr>
      <w:r>
        <w:t>4. Aufrechterhaltung und Re-Zertifizierung</w:t>
      </w:r>
    </w:p>
    <w:p>
      <w:r>
        <w:t>Surveillance-Audits werden jaehrlich im Q3 in jeweils einem Werk gefuehrt; Re-Zertifizierungs-audit nach 3 Jahren mit vollem Audit-Scope (alle vier Produktionswerke). Wechsel des Lead-Auditors gemaess IATF-Rules nach 3 Jahren ist geplant. Alle Major-Findings sind innerhalb 90 Tagen zu schliessen; bei Nichtschliessung droht Zertifikatsruhe (Suspended) und ggf. Rueckzug (Withdrawn) gemaess IATF-Auditor-Guide. Die REA bestaetigt die Aufrechterhaltung der Wirksamkeit ihres Q-Managementsystems durch jaehrliche Managementbewertung (siehe MR-Berichte).</w:t>
      </w:r>
    </w:p>
    <w:p>
      <w:pPr>
        <w:pStyle w:val="Heading3"/>
      </w:pPr>
      <w:r>
        <w:t>5. Freigabe</w:t>
      </w:r>
    </w:p>
    <w:p>
      <w:r>
        <w:t>Ort, Datum: Stuttgart, den 15. Oktober 2023</w:t>
      </w:r>
    </w:p>
    <w:p>
      <w:r>
        <w:t>_________________________            _________________________</w:t>
        <w:br/>
        <w:t>Dr. Christian Walter                          Sabine Brand</w:t>
        <w:br/>
        <w:t>Lead-Auditor DEKRA Certification                          Leitung QM Konzern</w:t>
        <w:br/>
        <w:t>DEKRA Certification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