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Q-Sicherungsvertrag REA - Infineon Halbleiter (2022)</w:t>
      </w:r>
    </w:p>
    <w:p/>
    <w:p>
      <w:pPr>
        <w:pStyle w:val="Heading3"/>
      </w:pPr>
      <w:r>
        <w:t>Praeambel</w:t>
      </w:r>
    </w:p>
    <w:p>
      <w:r>
        <w:t>Zwischen der Brennhagen Elektronik AG (»REA«), Vaihinger Strasse 120, 70567 Stuttgart, und der Infineon Technologies AG (»INF«), Am Campeon 1-15, 85579 Neubiberg, wird der vorliegende Q-Sicherungsvertrag zur Lieferung von Mikrocontrollern (Aurix TC399, Aurix TC397) und Power-Management-ICs fuer den Einsatz in BMS-12, ECU-900 und LightCtrl-7 geschlossen. Der Vertrag erfaellt die Anforderungen der IATF 16949 sowie der AEC-Q100-Klassifikation.</w:t>
      </w:r>
    </w:p>
    <w:p>
      <w:pPr>
        <w:pStyle w:val="Heading3"/>
      </w:pPr>
      <w:r>
        <w:t>§ 1 Vertragsgegenstand und Bauteile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Material-Nr.</w:t>
            </w:r>
          </w:p>
        </w:tc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AEC-Q100 Grade</w:t>
            </w:r>
          </w:p>
        </w:tc>
        <w:tc>
          <w:tcPr>
            <w:tcW w:type="dxa" w:w="2160"/>
          </w:tcPr>
          <w:p>
            <w:r>
              <w:t>PPAP-Level</w:t>
            </w:r>
          </w:p>
        </w:tc>
      </w:tr>
      <w:tr>
        <w:tc>
          <w:tcPr>
            <w:tcW w:type="dxa" w:w="2160"/>
          </w:tcPr>
          <w:p>
            <w:r>
              <w:t>INF-TC399-V-128</w:t>
            </w:r>
          </w:p>
        </w:tc>
        <w:tc>
          <w:tcPr>
            <w:tcW w:type="dxa" w:w="2160"/>
          </w:tcPr>
          <w:p>
            <w:r>
              <w:t>Aurix TC399 32-bit MCU</w:t>
            </w:r>
          </w:p>
        </w:tc>
        <w:tc>
          <w:tcPr>
            <w:tcW w:type="dxa" w:w="2160"/>
          </w:tcPr>
          <w:p>
            <w:r>
              <w:t>Grade 1 (-40..+125 °C)</w:t>
            </w:r>
          </w:p>
        </w:tc>
        <w:tc>
          <w:tcPr>
            <w:tcW w:type="dxa" w:w="2160"/>
          </w:tcPr>
          <w:p>
            <w:r>
              <w:t>Level 3</w:t>
            </w:r>
          </w:p>
        </w:tc>
      </w:tr>
      <w:tr>
        <w:tc>
          <w:tcPr>
            <w:tcW w:type="dxa" w:w="2160"/>
          </w:tcPr>
          <w:p>
            <w:r>
              <w:t>INF-TC397-V-064</w:t>
            </w:r>
          </w:p>
        </w:tc>
        <w:tc>
          <w:tcPr>
            <w:tcW w:type="dxa" w:w="2160"/>
          </w:tcPr>
          <w:p>
            <w:r>
              <w:t>Aurix TC397 32-bit MCU</w:t>
            </w:r>
          </w:p>
        </w:tc>
        <w:tc>
          <w:tcPr>
            <w:tcW w:type="dxa" w:w="2160"/>
          </w:tcPr>
          <w:p>
            <w:r>
              <w:t>Grade 1</w:t>
            </w:r>
          </w:p>
        </w:tc>
        <w:tc>
          <w:tcPr>
            <w:tcW w:type="dxa" w:w="2160"/>
          </w:tcPr>
          <w:p>
            <w:r>
              <w:t>Level 3</w:t>
            </w:r>
          </w:p>
        </w:tc>
      </w:tr>
      <w:tr>
        <w:tc>
          <w:tcPr>
            <w:tcW w:type="dxa" w:w="2160"/>
          </w:tcPr>
          <w:p>
            <w:r>
              <w:t>INF-TLF35584</w:t>
            </w:r>
          </w:p>
        </w:tc>
        <w:tc>
          <w:tcPr>
            <w:tcW w:type="dxa" w:w="2160"/>
          </w:tcPr>
          <w:p>
            <w:r>
              <w:t>Safety SBC PMIC</w:t>
            </w:r>
          </w:p>
        </w:tc>
        <w:tc>
          <w:tcPr>
            <w:tcW w:type="dxa" w:w="2160"/>
          </w:tcPr>
          <w:p>
            <w:r>
              <w:t>Grade 1</w:t>
            </w:r>
          </w:p>
        </w:tc>
        <w:tc>
          <w:tcPr>
            <w:tcW w:type="dxa" w:w="2160"/>
          </w:tcPr>
          <w:p>
            <w:r>
              <w:t>Level 3</w:t>
            </w:r>
          </w:p>
        </w:tc>
      </w:tr>
      <w:tr>
        <w:tc>
          <w:tcPr>
            <w:tcW w:type="dxa" w:w="2160"/>
          </w:tcPr>
          <w:p>
            <w:r>
              <w:t>INF-TLE9012</w:t>
            </w:r>
          </w:p>
        </w:tc>
        <w:tc>
          <w:tcPr>
            <w:tcW w:type="dxa" w:w="2160"/>
          </w:tcPr>
          <w:p>
            <w:r>
              <w:t>Battery Monitoring IC</w:t>
            </w:r>
          </w:p>
        </w:tc>
        <w:tc>
          <w:tcPr>
            <w:tcW w:type="dxa" w:w="2160"/>
          </w:tcPr>
          <w:p>
            <w:r>
              <w:t>Grade 1</w:t>
            </w:r>
          </w:p>
        </w:tc>
        <w:tc>
          <w:tcPr>
            <w:tcW w:type="dxa" w:w="2160"/>
          </w:tcPr>
          <w:p>
            <w:r>
              <w:t>Level 3</w:t>
            </w:r>
          </w:p>
        </w:tc>
      </w:tr>
    </w:tbl>
    <w:p>
      <w:pPr>
        <w:pStyle w:val="Heading3"/>
      </w:pPr>
      <w:r>
        <w:t>§ 2 Qualitaetsanforderungen</w:t>
      </w:r>
    </w:p>
    <w:p>
      <w:r>
        <w:t>Es gelten die Konzern-CSR der REA (Rev. 2023) und die VDA-Bedingungen 2002. Reklamations-ppm Zielwert &lt;= 5 ppm (Halbleiter), 8D-Closure-Zeit &lt; 30 Tage. Allokationsrisiken werden quartalsweise gemeinsam reviewt; Eskalation an Vorstand bei drohender Linienstoppgefahr.</w:t>
      </w:r>
    </w:p>
    <w:p>
      <w:pPr>
        <w:pStyle w:val="Heading3"/>
      </w:pPr>
      <w:r>
        <w:t>§ 3 Aenderungsmanagement (PCN)</w:t>
      </w:r>
    </w:p>
    <w:p>
      <w:r>
        <w:t>Aenderungen sind 6 Monate vor Wirksamkeit ueber PCN-Workflow (SAE J1739) anzukuendigen. Sicherheitsbezogene Aenderungen erfordern Re-PPAP und Freigabe durch REA-Q sowie OEM.</w:t>
      </w:r>
    </w:p>
    <w:p>
      <w:pPr>
        <w:pStyle w:val="Heading3"/>
      </w:pPr>
      <w:r>
        <w:t>§ 4 Unterschriften</w:t>
      </w:r>
    </w:p>
    <w:p>
      <w:r>
        <w:t>Ort, Datum: Stuttgart, den 15. November 2022</w:t>
      </w:r>
    </w:p>
    <w:p>
      <w:r>
        <w:t>_________________________            _________________________</w:t>
        <w:br/>
        <w:t>Sabine Brand                          Dr. R. Roth</w:t>
        <w:br/>
        <w:t>Leitung QM Konzern                          Director Customer Quality</w:t>
        <w:br/>
        <w:t>Brennhagen Elektronik AG                       Infineon Technologies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