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Internes IATF-Audit Programmbericht 2023</w:t>
      </w:r>
    </w:p>
    <w:p/>
    <w:p>
      <w:pPr>
        <w:pStyle w:val="Heading3"/>
      </w:pPr>
      <w:r>
        <w:t>1. Auditprogramm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Programm-Nr.</w:t>
            </w:r>
          </w:p>
        </w:tc>
        <w:tc>
          <w:tcPr>
            <w:tcW w:type="dxa" w:w="4320"/>
          </w:tcPr>
          <w:p>
            <w:r>
              <w:t>IA-IATF-2023</w:t>
            </w:r>
          </w:p>
        </w:tc>
      </w:tr>
      <w:tr>
        <w:tc>
          <w:tcPr>
            <w:tcW w:type="dxa" w:w="4320"/>
          </w:tcPr>
          <w:p>
            <w:r>
              <w:t>Auditzeitraum</w:t>
            </w:r>
          </w:p>
        </w:tc>
        <w:tc>
          <w:tcPr>
            <w:tcW w:type="dxa" w:w="4320"/>
          </w:tcPr>
          <w:p>
            <w:r>
              <w:t>KW 32 – KW 44 / 2023</w:t>
            </w:r>
          </w:p>
        </w:tc>
      </w:tr>
      <w:tr>
        <w:tc>
          <w:tcPr>
            <w:tcW w:type="dxa" w:w="4320"/>
          </w:tcPr>
          <w:p>
            <w:r>
              <w:t>Lead-Auditor</w:t>
            </w:r>
          </w:p>
        </w:tc>
        <w:tc>
          <w:tcPr>
            <w:tcW w:type="dxa" w:w="4320"/>
          </w:tcPr>
          <w:p>
            <w:r>
              <w:t>Andreas Buehler (CAE, IATF/VDA-6.3-zert.)</w:t>
            </w:r>
          </w:p>
        </w:tc>
      </w:tr>
      <w:tr>
        <w:tc>
          <w:tcPr>
            <w:tcW w:type="dxa" w:w="4320"/>
          </w:tcPr>
          <w:p>
            <w:r>
              <w:t>Auditteam</w:t>
            </w:r>
          </w:p>
        </w:tc>
        <w:tc>
          <w:tcPr>
            <w:tcW w:type="dxa" w:w="4320"/>
          </w:tcPr>
          <w:p>
            <w:r>
              <w:t>5 zertifizierte interne Auditoren (VDA 6.3 / IATF)</w:t>
            </w:r>
          </w:p>
        </w:tc>
      </w:tr>
      <w:tr>
        <w:tc>
          <w:tcPr>
            <w:tcW w:type="dxa" w:w="4320"/>
          </w:tcPr>
          <w:p>
            <w:r>
              <w:t>Auditierte Werke</w:t>
            </w:r>
          </w:p>
        </w:tc>
        <w:tc>
          <w:tcPr>
            <w:tcW w:type="dxa" w:w="4320"/>
          </w:tcPr>
          <w:p>
            <w:r>
              <w:t>REG, RPL, RCZ, RHU; Methoden-Audit RSG</w:t>
            </w:r>
          </w:p>
        </w:tc>
      </w:tr>
      <w:tr>
        <w:tc>
          <w:tcPr>
            <w:tcW w:type="dxa" w:w="4320"/>
          </w:tcPr>
          <w:p>
            <w:r>
              <w:t>Auditkriterien</w:t>
            </w:r>
          </w:p>
        </w:tc>
        <w:tc>
          <w:tcPr>
            <w:tcW w:type="dxa" w:w="4320"/>
          </w:tcPr>
          <w:p>
            <w:r>
              <w:t>IATF 16949:2016 Rev. 5; VDA 6.3 (P2-P7); OEM-CSR</w:t>
            </w:r>
          </w:p>
        </w:tc>
      </w:tr>
      <w:tr>
        <w:tc>
          <w:tcPr>
            <w:tcW w:type="dxa" w:w="4320"/>
          </w:tcPr>
          <w:p>
            <w:r>
              <w:t>Berichtsadressat</w:t>
            </w:r>
          </w:p>
        </w:tc>
        <w:tc>
          <w:tcPr>
            <w:tcW w:type="dxa" w:w="4320"/>
          </w:tcPr>
          <w:p>
            <w:r>
              <w:t>Vorstand, Konzern-Q, Audit Committee</w:t>
            </w:r>
          </w:p>
        </w:tc>
      </w:tr>
    </w:tbl>
    <w:p>
      <w:pPr>
        <w:pStyle w:val="Heading3"/>
      </w:pPr>
      <w:r>
        <w:t>2. Auditplan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Werk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Auditor</w:t>
            </w:r>
          </w:p>
        </w:tc>
        <w:tc>
          <w:tcPr>
            <w:tcW w:type="dxa" w:w="2160"/>
          </w:tcPr>
          <w:p>
            <w:r>
              <w:t>Klauseln / Schwerpunkt</w:t>
            </w:r>
          </w:p>
        </w:tc>
      </w:tr>
      <w:tr>
        <w:tc>
          <w:tcPr>
            <w:tcW w:type="dxa" w:w="2160"/>
          </w:tcPr>
          <w:p>
            <w:r>
              <w:t>REG Heilbronn</w:t>
            </w:r>
          </w:p>
        </w:tc>
        <w:tc>
          <w:tcPr>
            <w:tcW w:type="dxa" w:w="2160"/>
          </w:tcPr>
          <w:p>
            <w:r>
              <w:t>04.-08.09.2023</w:t>
            </w:r>
          </w:p>
        </w:tc>
        <w:tc>
          <w:tcPr>
            <w:tcW w:type="dxa" w:w="2160"/>
          </w:tcPr>
          <w:p>
            <w:r>
              <w:t>A. Buehler / S. Brand</w:t>
            </w:r>
          </w:p>
        </w:tc>
        <w:tc>
          <w:tcPr>
            <w:tcW w:type="dxa" w:w="2160"/>
          </w:tcPr>
          <w:p>
            <w:r>
              <w:t>alle, Schwerpunkt Klausel 8/9</w:t>
            </w:r>
          </w:p>
        </w:tc>
      </w:tr>
      <w:tr>
        <w:tc>
          <w:tcPr>
            <w:tcW w:type="dxa" w:w="2160"/>
          </w:tcPr>
          <w:p>
            <w:r>
              <w:t>RPL Katowice</w:t>
            </w:r>
          </w:p>
        </w:tc>
        <w:tc>
          <w:tcPr>
            <w:tcW w:type="dxa" w:w="2160"/>
          </w:tcPr>
          <w:p>
            <w:r>
              <w:t>11.-15.09.2023</w:t>
            </w:r>
          </w:p>
        </w:tc>
        <w:tc>
          <w:tcPr>
            <w:tcW w:type="dxa" w:w="2160"/>
          </w:tcPr>
          <w:p>
            <w:r>
              <w:t>K. Rauch / M. Klima</w:t>
            </w:r>
          </w:p>
        </w:tc>
        <w:tc>
          <w:tcPr>
            <w:tcW w:type="dxa" w:w="2160"/>
          </w:tcPr>
          <w:p>
            <w:r>
              <w:t>alle</w:t>
            </w:r>
          </w:p>
        </w:tc>
      </w:tr>
      <w:tr>
        <w:tc>
          <w:tcPr>
            <w:tcW w:type="dxa" w:w="2160"/>
          </w:tcPr>
          <w:p>
            <w:r>
              <w:t>RCZ Brno</w:t>
            </w:r>
          </w:p>
        </w:tc>
        <w:tc>
          <w:tcPr>
            <w:tcW w:type="dxa" w:w="2160"/>
          </w:tcPr>
          <w:p>
            <w:r>
              <w:t>18.-22.09.2023</w:t>
            </w:r>
          </w:p>
        </w:tc>
        <w:tc>
          <w:tcPr>
            <w:tcW w:type="dxa" w:w="2160"/>
          </w:tcPr>
          <w:p>
            <w:r>
              <w:t>K. Rauch</w:t>
            </w:r>
          </w:p>
        </w:tc>
        <w:tc>
          <w:tcPr>
            <w:tcW w:type="dxa" w:w="2160"/>
          </w:tcPr>
          <w:p>
            <w:r>
              <w:t>Klauseln 4-10</w:t>
            </w:r>
          </w:p>
        </w:tc>
      </w:tr>
      <w:tr>
        <w:tc>
          <w:tcPr>
            <w:tcW w:type="dxa" w:w="2160"/>
          </w:tcPr>
          <w:p>
            <w:r>
              <w:t>RHU Gyoer</w:t>
            </w:r>
          </w:p>
        </w:tc>
        <w:tc>
          <w:tcPr>
            <w:tcW w:type="dxa" w:w="2160"/>
          </w:tcPr>
          <w:p>
            <w:r>
              <w:t>25.-29.09.2023</w:t>
            </w:r>
          </w:p>
        </w:tc>
        <w:tc>
          <w:tcPr>
            <w:tcW w:type="dxa" w:w="2160"/>
          </w:tcPr>
          <w:p>
            <w:r>
              <w:t>M. Klima</w:t>
            </w:r>
          </w:p>
        </w:tc>
        <w:tc>
          <w:tcPr>
            <w:tcW w:type="dxa" w:w="2160"/>
          </w:tcPr>
          <w:p>
            <w:r>
              <w:t>Klauseln 4-10</w:t>
            </w:r>
          </w:p>
        </w:tc>
      </w:tr>
      <w:tr>
        <w:tc>
          <w:tcPr>
            <w:tcW w:type="dxa" w:w="2160"/>
          </w:tcPr>
          <w:p>
            <w:r>
              <w:t>RSG Muenchen</w:t>
            </w:r>
          </w:p>
        </w:tc>
        <w:tc>
          <w:tcPr>
            <w:tcW w:type="dxa" w:w="2160"/>
          </w:tcPr>
          <w:p>
            <w:r>
              <w:t>02.-06.10.2023</w:t>
            </w:r>
          </w:p>
        </w:tc>
        <w:tc>
          <w:tcPr>
            <w:tcW w:type="dxa" w:w="2160"/>
          </w:tcPr>
          <w:p>
            <w:r>
              <w:t>A. Buehler</w:t>
            </w:r>
          </w:p>
        </w:tc>
        <w:tc>
          <w:tcPr>
            <w:tcW w:type="dxa" w:w="2160"/>
          </w:tcPr>
          <w:p>
            <w:r>
              <w:t>Methoden / Software-CSR / ASPICE</w:t>
            </w:r>
          </w:p>
        </w:tc>
      </w:tr>
    </w:tbl>
    <w:p>
      <w:pPr>
        <w:pStyle w:val="Heading3"/>
      </w:pPr>
      <w:r>
        <w:t>3. Audit-Methodik</w:t>
      </w:r>
    </w:p>
    <w:p>
      <w:r>
        <w:t>Die Audits wurden gemaess Process-Approach durchgefuehrt. Pro Werk waren 4 Auditmanntage angesetzt mit interdisziplinaerem Auditteam (Q, Engineering, Operations). Auditcheckliste basiert auf IATF-Auditor-Guide 5th Ed. und der konzerneigenen Checkliste IATF-CHK-23 (Rev. 04). Findings werden tagesgleich am Closing-Meeting kommuniziert und im OneQMS dokumentiert (Workflow IAU-2023-NNNN). Wirksamkeitspruefung ist Bestandteil des CAPA-Workflows.</w:t>
      </w:r>
    </w:p>
    <w:p>
      <w:pPr>
        <w:pStyle w:val="Heading3"/>
      </w:pPr>
      <w:r>
        <w:t>4. Zusammenfassung Ergebnis</w:t>
      </w:r>
    </w:p>
    <w:p>
      <w:r>
        <w:t>Insgesamt wurden 47 Findings festgestellt (0 Major, 9 Minor, 38 Hinweise). Schwerpunkt-Themen: Lieferanten-Re-Bewertung (Klausel 8.4.2.4), Pruefmittel-Identifikation (7.1.5.2.1), Trainingseffektivitaet (7.2), Aenderungsmanagement (8.5.6), Korrekturmassnahmen (10.2). Alle Minor-Findings wurden in CAPA ueberfuehrt (CAPA-2023-0001 bis -0020). Wirksamkeit der Massnahmen wird im Q1/2024 stichprobenartig nachgeprueft. Im Vergleich zum Vorjahr (2022: 51 Findings, 1 Major) ist ein deutlicher Reifegradgewinn zu verzeichnen. Empfehlung: Erweiterung des Trainings-Programms fuer Schichtleitungen sowie Visualisierung SPC-Karten an der Linie (Andon).</w:t>
      </w:r>
    </w:p>
    <w:p>
      <w:pPr>
        <w:pStyle w:val="Heading3"/>
      </w:pPr>
      <w:r>
        <w:t>5. Freigabe</w:t>
      </w:r>
    </w:p>
    <w:p>
      <w:r>
        <w:t>Ort, Datum: Stuttgart, den 15. Oktober 2023</w:t>
      </w:r>
    </w:p>
    <w:p>
      <w:r>
        <w:t>_________________________            _________________________</w:t>
        <w:br/>
        <w:t>Andreas Buehler                          Sabine Brand</w:t>
        <w:br/>
        <w:t>Chief Audit Executive                          Leitung QM Konzern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