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REA-Konzern-SPC — ADAS-V4D (2023)</w:t>
      </w:r>
    </w:p>
    <w:p/>
    <w:p>
      <w:pPr>
        <w:pStyle w:val="Heading3"/>
      </w:pPr>
      <w:r>
        <w:t>1. Dokumentenkopf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Dokumenttyp</w:t>
            </w:r>
          </w:p>
        </w:tc>
        <w:tc>
          <w:tcPr>
            <w:tcW w:type="dxa" w:w="4320"/>
          </w:tcPr>
          <w:p>
            <w:r>
              <w:t>SPC — Statistische Prozesslenkung</w:t>
            </w:r>
          </w:p>
        </w:tc>
      </w:tr>
      <w:tr>
        <w:tc>
          <w:tcPr>
            <w:tcW w:type="dxa" w:w="4320"/>
          </w:tcPr>
          <w:p>
            <w:r>
              <w:t>Norm / Methode</w:t>
            </w:r>
          </w:p>
        </w:tc>
        <w:tc>
          <w:tcPr>
            <w:tcW w:type="dxa" w:w="4320"/>
          </w:tcPr>
          <w:p>
            <w:r>
              <w:t>AIAG SPC 2nd Ed.</w:t>
            </w:r>
          </w:p>
        </w:tc>
      </w:tr>
      <w:tr>
        <w:tc>
          <w:tcPr>
            <w:tcW w:type="dxa" w:w="4320"/>
          </w:tcPr>
          <w:p>
            <w:r>
              <w:t>Geltungsbereich</w:t>
            </w:r>
          </w:p>
        </w:tc>
        <w:tc>
          <w:tcPr>
            <w:tcW w:type="dxa" w:w="4320"/>
          </w:tcPr>
          <w:p>
            <w:r>
              <w:t>Radar Fusion ECU V4D (ADAS-V4D)</w:t>
            </w:r>
          </w:p>
        </w:tc>
      </w:tr>
      <w:tr>
        <w:tc>
          <w:tcPr>
            <w:tcW w:type="dxa" w:w="4320"/>
          </w:tcPr>
          <w:p>
            <w:r>
              <w:t>Produkt(linie)</w:t>
            </w:r>
          </w:p>
        </w:tc>
        <w:tc>
          <w:tcPr>
            <w:tcW w:type="dxa" w:w="4320"/>
          </w:tcPr>
          <w:p>
            <w:r>
              <w:t>Radar Fusion ECU V4D (Level-2/3 ADAS Steuergeraet)</w:t>
            </w:r>
          </w:p>
        </w:tc>
      </w:tr>
      <w:tr>
        <w:tc>
          <w:tcPr>
            <w:tcW w:type="dxa" w:w="4320"/>
          </w:tcPr>
          <w:p>
            <w:r>
              <w:t>Aenderungsstand</w:t>
            </w:r>
          </w:p>
        </w:tc>
        <w:tc>
          <w:tcPr>
            <w:tcW w:type="dxa" w:w="4320"/>
          </w:tcPr>
          <w:p>
            <w:r>
              <w:t>Rev. 03</w:t>
            </w:r>
          </w:p>
        </w:tc>
      </w:tr>
      <w:tr>
        <w:tc>
          <w:tcPr>
            <w:tcW w:type="dxa" w:w="4320"/>
          </w:tcPr>
          <w:p>
            <w:r>
              <w:t>Erstellt / Datum</w:t>
            </w:r>
          </w:p>
        </w:tc>
        <w:tc>
          <w:tcPr>
            <w:tcW w:type="dxa" w:w="4320"/>
          </w:tcPr>
          <w:p>
            <w:r>
              <w:t>Sabine Brand, Q-Konzern / 15. September 2023</w:t>
            </w:r>
          </w:p>
        </w:tc>
      </w:tr>
      <w:tr>
        <w:tc>
          <w:tcPr>
            <w:tcW w:type="dxa" w:w="4320"/>
          </w:tcPr>
          <w:p>
            <w:r>
              <w:t>Geprueft</w:t>
            </w:r>
          </w:p>
        </w:tc>
        <w:tc>
          <w:tcPr>
            <w:tcW w:type="dxa" w:w="4320"/>
          </w:tcPr>
          <w:p>
            <w:r>
              <w:t>Dr. Heike Renz, Leitung Entwicklung</w:t>
            </w:r>
          </w:p>
        </w:tc>
      </w:tr>
      <w:tr>
        <w:tc>
          <w:tcPr>
            <w:tcW w:type="dxa" w:w="4320"/>
          </w:tcPr>
          <w:p>
            <w:r>
              <w:t>Freigegeben</w:t>
            </w:r>
          </w:p>
        </w:tc>
        <w:tc>
          <w:tcPr>
            <w:tcW w:type="dxa" w:w="4320"/>
          </w:tcPr>
          <w:p>
            <w:r>
              <w:t>Dr. Thomas Weber, COO</w:t>
            </w:r>
          </w:p>
        </w:tc>
      </w:tr>
    </w:tbl>
    <w:p>
      <w:pPr>
        <w:pStyle w:val="Heading3"/>
      </w:pPr>
      <w:r>
        <w:t>2. Zweck und Anwendung</w:t>
      </w:r>
    </w:p>
    <w:p>
      <w:r>
        <w:t>Dieses Dokument beschreibt die konzernweit verbindliche Anwendung der Methode »SPC — Statistische Prozesslenkung« gemaess AIAG SPC 2nd Ed. im Rahmen des Konzern-Qualitaetsmanagements der Brennhagen Elektronik AG. Es ist verbindlich fuer alle Produktionswerke (REG Heilbronn, RPL Katowice, RCZ Brno, RHU Gyoer) sowie fuer die Software-Tochter RSG Muenchen, soweit anwendbar. Die Methode bildet einen integralen Bestandteil der OEM-Bemusterung sowie der laufenden Serienueberwachung der genannten Steuergeraete.</w:t>
      </w:r>
    </w:p>
    <w:p>
      <w:pPr>
        <w:pStyle w:val="Heading3"/>
      </w:pPr>
      <w:r>
        <w:t>3. Methodische Eckpunkte</w:t>
      </w:r>
    </w:p>
    <w:p>
      <w:pPr>
        <w:pStyle w:val="Heading4"/>
      </w:pPr>
      <w:r>
        <w:t>3.1 — Verantwortlichkeiten</w:t>
      </w:r>
    </w:p>
    <w:p>
      <w:r>
        <w:rPr>
          <w:b/>
        </w:rPr>
        <w:t xml:space="preserve">(1) </w:t>
      </w:r>
      <w:r>
        <w:t>Konzern-Q (Brand) ist Methoden-Eigner und stellt Schulungen, Templates (in OneQMS) sowie Auditrechte sicher.</w:t>
      </w:r>
    </w:p>
    <w:p>
      <w:r>
        <w:rPr>
          <w:b/>
        </w:rPr>
        <w:t xml:space="preserve">(2) </w:t>
      </w:r>
      <w:r>
        <w:t>Werks-Q (lokal) verantwortet die operative Anwendung und stellt Ergebnisse in Q-DAS qs-STAT zur Verfuegung.</w:t>
      </w:r>
    </w:p>
    <w:p>
      <w:r>
        <w:rPr>
          <w:b/>
        </w:rPr>
        <w:t xml:space="preserve">(3) </w:t>
      </w:r>
      <w:r>
        <w:t>Entwicklung (RSG / Hardware) liefert FLS, Lastenhefte und Aenderungs-ECNs.</w:t>
      </w:r>
    </w:p>
    <w:p>
      <w:pPr>
        <w:pStyle w:val="Heading4"/>
      </w:pPr>
      <w:r>
        <w:t>3.2 — Inputs</w:t>
      </w:r>
    </w:p>
    <w:p>
      <w:r>
        <w:rPr>
          <w:b/>
        </w:rPr>
        <w:t xml:space="preserve">(1) </w:t>
      </w:r>
      <w:r>
        <w:t>Lastenheft des OEM / Produktanforderungen</w:t>
      </w:r>
    </w:p>
    <w:p>
      <w:r>
        <w:rPr>
          <w:b/>
        </w:rPr>
        <w:t xml:space="preserve">(2) </w:t>
      </w:r>
      <w:r>
        <w:t>Vorgaengerprojekt-Lessons-Learned aus PRO-Datenbank</w:t>
      </w:r>
    </w:p>
    <w:p>
      <w:r>
        <w:rPr>
          <w:b/>
        </w:rPr>
        <w:t xml:space="preserve">(3) </w:t>
      </w:r>
      <w:r>
        <w:t>Stand der Technik (AUTOSAR R23-11, ISO 26262:2018, ISO/SAE 21434:2021)</w:t>
      </w:r>
    </w:p>
    <w:p>
      <w:pPr>
        <w:pStyle w:val="Heading4"/>
      </w:pPr>
      <w:r>
        <w:t>3.3 — Outputs</w:t>
      </w:r>
    </w:p>
    <w:p>
      <w:r>
        <w:rPr>
          <w:b/>
        </w:rPr>
        <w:t xml:space="preserve">(1) </w:t>
      </w:r>
      <w:r>
        <w:t>Freigabematerial fuer Gate-Review (G3/G4) gem. APQP-Phasenplan</w:t>
      </w:r>
    </w:p>
    <w:p>
      <w:r>
        <w:rPr>
          <w:b/>
        </w:rPr>
        <w:t xml:space="preserve">(2) </w:t>
      </w:r>
      <w:r>
        <w:t>Eingang in PPAP-Paket fuer den OEM</w:t>
      </w:r>
    </w:p>
    <w:p>
      <w:r>
        <w:rPr>
          <w:b/>
        </w:rPr>
        <w:t xml:space="preserve">(3) </w:t>
      </w:r>
      <w:r>
        <w:t>Eingang in Control Plan und Pruefumfaenge der Serienproduktion</w:t>
      </w:r>
    </w:p>
    <w:p>
      <w:pPr>
        <w:pStyle w:val="Heading3"/>
      </w:pPr>
      <w:r>
        <w:t>4. Ergebnis-Auszug (Stand 2023)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Kennzahl</w:t>
            </w:r>
          </w:p>
        </w:tc>
        <w:tc>
          <w:tcPr>
            <w:tcW w:type="dxa" w:w="2880"/>
          </w:tcPr>
          <w:p>
            <w:r>
              <w:t>Wert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</w:tr>
      <w:tr>
        <w:tc>
          <w:tcPr>
            <w:tcW w:type="dxa" w:w="2880"/>
          </w:tcPr>
          <w:p>
            <w:r>
              <w:t>Anzahl Eintraege / Faelle</w:t>
            </w:r>
          </w:p>
        </w:tc>
        <w:tc>
          <w:tcPr>
            <w:tcW w:type="dxa" w:w="2880"/>
          </w:tcPr>
          <w:p>
            <w:r>
              <w:t>184</w:t>
            </w:r>
          </w:p>
        </w:tc>
        <w:tc>
          <w:tcPr>
            <w:tcW w:type="dxa" w:w="2880"/>
          </w:tcPr>
          <w:p>
            <w:r>
              <w:t>vollstaendig</w:t>
            </w:r>
          </w:p>
        </w:tc>
      </w:tr>
      <w:tr>
        <w:tc>
          <w:tcPr>
            <w:tcW w:type="dxa" w:w="2880"/>
          </w:tcPr>
          <w:p>
            <w:r>
              <w:t>Top-RPN / Top-AP</w:t>
            </w:r>
          </w:p>
        </w:tc>
        <w:tc>
          <w:tcPr>
            <w:tcW w:type="dxa" w:w="2880"/>
          </w:tcPr>
          <w:p>
            <w:r>
              <w:t>AP=H (3 Faelle), AP=M (12 Faelle)</w:t>
            </w:r>
          </w:p>
        </w:tc>
        <w:tc>
          <w:tcPr>
            <w:tcW w:type="dxa" w:w="2880"/>
          </w:tcPr>
          <w:p>
            <w:r>
              <w:t>Massnahmen in Arbeit</w:t>
            </w:r>
          </w:p>
        </w:tc>
      </w:tr>
      <w:tr>
        <w:tc>
          <w:tcPr>
            <w:tcW w:type="dxa" w:w="2880"/>
          </w:tcPr>
          <w:p>
            <w:r>
              <w:t>Cpk Schlu</w:t>
              <w:tab/>
              <w:t>sselmerkmale</w:t>
            </w:r>
          </w:p>
        </w:tc>
        <w:tc>
          <w:tcPr>
            <w:tcW w:type="dxa" w:w="2880"/>
          </w:tcPr>
          <w:p>
            <w:r>
              <w:t>&gt;= 1,67</w:t>
            </w:r>
          </w:p>
        </w:tc>
        <w:tc>
          <w:tcPr>
            <w:tcW w:type="dxa" w:w="2880"/>
          </w:tcPr>
          <w:p>
            <w:r>
              <w:t>io</w:t>
            </w:r>
          </w:p>
        </w:tc>
      </w:tr>
      <w:tr>
        <w:tc>
          <w:tcPr>
            <w:tcW w:type="dxa" w:w="2880"/>
          </w:tcPr>
          <w:p>
            <w:r>
              <w:t>Audit-Findings 2023 (intern)</w:t>
            </w:r>
          </w:p>
        </w:tc>
        <w:tc>
          <w:tcPr>
            <w:tcW w:type="dxa" w:w="2880"/>
          </w:tcPr>
          <w:p>
            <w:r>
              <w:t>1 Minor, 0 Major</w:t>
            </w:r>
          </w:p>
        </w:tc>
        <w:tc>
          <w:tcPr>
            <w:tcW w:type="dxa" w:w="2880"/>
          </w:tcPr>
          <w:p>
            <w:r>
              <w:t>io</w:t>
            </w:r>
          </w:p>
        </w:tc>
      </w:tr>
    </w:tbl>
    <w:p>
      <w:pPr>
        <w:pStyle w:val="Heading3"/>
      </w:pPr>
      <w:r>
        <w:t>5. Aufzeichnungen / Verteiler</w:t>
      </w:r>
    </w:p>
    <w:p>
      <w:r>
        <w:t>Das Dokument wird in OneQMS abgelegt (Dokument-ID OQMS-SPC-ADAS-V4D-2023). Verteiler: Vorstand COO, Konzern-Q, alle Werks-Q, Engineering-Lead RSG, OEM-Account-Manager. Aufbewahrungspflicht: 15 Jahre fuer sicherheitsbezogene Bestandteile, sonst 7 Jahre. Backup im EU-Data-Lake S3 (verschluesselt).</w:t>
      </w:r>
    </w:p>
    <w:p>
      <w:pPr>
        <w:pStyle w:val="Heading3"/>
      </w:pPr>
      <w:r>
        <w:t>6. Unterschriften</w:t>
      </w:r>
    </w:p>
    <w:p>
      <w:r>
        <w:t>Ort, Datum: Stuttgart, den 15. September 2023</w:t>
      </w:r>
    </w:p>
    <w:p>
      <w:r>
        <w:t>_________________________            _________________________</w:t>
        <w:br/>
        <w:t>Sabine Brand                          Dr. Thomas Weber</w:t>
        <w:br/>
        <w:t>Leitung QM Konzern                          COO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