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QBR Quality Stellantis / BMS-12 — Q2 2023</w:t>
      </w:r>
    </w:p>
    <w:p/>
    <w:p>
      <w:pPr>
        <w:pStyle w:val="Heading3"/>
      </w:pPr>
      <w:r>
        <w:t>1. Sitzungsrahmen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Sitzung</w:t>
            </w:r>
          </w:p>
        </w:tc>
        <w:tc>
          <w:tcPr>
            <w:tcW w:type="dxa" w:w="4320"/>
          </w:tcPr>
          <w:p>
            <w:r>
              <w:t>Quarterly Business Review (QBR) Quality</w:t>
            </w:r>
          </w:p>
        </w:tc>
      </w:tr>
      <w:tr>
        <w:tc>
          <w:tcPr>
            <w:tcW w:type="dxa" w:w="4320"/>
          </w:tcPr>
          <w:p>
            <w:r>
              <w:t>Sitzungs-Nr.</w:t>
            </w:r>
          </w:p>
        </w:tc>
        <w:tc>
          <w:tcPr>
            <w:tcW w:type="dxa" w:w="4320"/>
          </w:tcPr>
          <w:p>
            <w:r>
              <w:t>QBR-STE-BMS-12-Q2-2023</w:t>
            </w:r>
          </w:p>
        </w:tc>
      </w:tr>
      <w:tr>
        <w:tc>
          <w:tcPr>
            <w:tcW w:type="dxa" w:w="4320"/>
          </w:tcPr>
          <w:p>
            <w:r>
              <w:t>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Ort / Format</w:t>
            </w:r>
          </w:p>
        </w:tc>
        <w:tc>
          <w:tcPr>
            <w:tcW w:type="dxa" w:w="4320"/>
          </w:tcPr>
          <w:p>
            <w:r>
              <w:t>Stellantis N.V., Singaporestraat 92-100, 1175 RA Lijnden / hybrid (Teams)</w:t>
            </w:r>
          </w:p>
        </w:tc>
      </w:tr>
      <w:tr>
        <w:tc>
          <w:tcPr>
            <w:tcW w:type="dxa" w:w="4320"/>
          </w:tcPr>
          <w:p>
            <w:r>
              <w:t>OEM-Vertretung</w:t>
            </w:r>
          </w:p>
        </w:tc>
        <w:tc>
          <w:tcPr>
            <w:tcW w:type="dxa" w:w="4320"/>
          </w:tcPr>
          <w:p>
            <w:r>
              <w:t>Stellantis N.V., SQE: Dr. M. Kahler; Q-Director: B. Lasse; Engineering: Dr. F. Tritt</w:t>
            </w:r>
          </w:p>
        </w:tc>
      </w:tr>
      <w:tr>
        <w:tc>
          <w:tcPr>
            <w:tcW w:type="dxa" w:w="4320"/>
          </w:tcPr>
          <w:p>
            <w:r>
              <w:t>REA-Vertretung</w:t>
            </w:r>
          </w:p>
        </w:tc>
        <w:tc>
          <w:tcPr>
            <w:tcW w:type="dxa" w:w="4320"/>
          </w:tcPr>
          <w:p>
            <w:r>
              <w:t>Sabine Brand (Q-Konzern), Stefan Richter (CMO/BD), Account-Mgr T. Wolke, Werkleitung REG (Maier)</w:t>
            </w:r>
          </w:p>
        </w:tc>
      </w:tr>
      <w:tr>
        <w:tc>
          <w:tcPr>
            <w:tcW w:type="dxa" w:w="4320"/>
          </w:tcPr>
          <w:p>
            <w:r>
              <w:t>Produkt im Fokus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Peugeot e-3008, DS9</w:t>
            </w:r>
          </w:p>
        </w:tc>
      </w:tr>
    </w:tbl>
    <w:p>
      <w:pPr>
        <w:pStyle w:val="Heading3"/>
      </w:pPr>
      <w:r>
        <w:t>2. KPI-Review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KPI</w:t>
            </w:r>
          </w:p>
        </w:tc>
        <w:tc>
          <w:tcPr>
            <w:tcW w:type="dxa" w:w="1728"/>
          </w:tcPr>
          <w:p>
            <w:r>
              <w:t>Ziel</w:t>
            </w:r>
          </w:p>
        </w:tc>
        <w:tc>
          <w:tcPr>
            <w:tcW w:type="dxa" w:w="1728"/>
          </w:tcPr>
          <w:p>
            <w:r>
              <w:t>Ist Q2 2023</w:t>
            </w:r>
          </w:p>
        </w:tc>
        <w:tc>
          <w:tcPr>
            <w:tcW w:type="dxa" w:w="1728"/>
          </w:tcPr>
          <w:p>
            <w:r>
              <w:t>Vorjahr</w:t>
            </w:r>
          </w:p>
        </w:tc>
        <w:tc>
          <w:tcPr>
            <w:tcW w:type="dxa" w:w="1728"/>
          </w:tcPr>
          <w:p>
            <w:r>
              <w:t>Trend</w:t>
            </w:r>
          </w:p>
        </w:tc>
      </w:tr>
      <w:tr>
        <w:tc>
          <w:tcPr>
            <w:tcW w:type="dxa" w:w="1728"/>
          </w:tcPr>
          <w:p>
            <w:r>
              <w:t>Reklamations-ppm</w:t>
            </w:r>
          </w:p>
        </w:tc>
        <w:tc>
          <w:tcPr>
            <w:tcW w:type="dxa" w:w="1728"/>
          </w:tcPr>
          <w:p>
            <w:r>
              <w:t>&lt; 25 ppm</w:t>
            </w:r>
          </w:p>
        </w:tc>
        <w:tc>
          <w:tcPr>
            <w:tcW w:type="dxa" w:w="1728"/>
          </w:tcPr>
          <w:p>
            <w:r>
              <w:t>14 ppm</w:t>
            </w:r>
          </w:p>
        </w:tc>
        <w:tc>
          <w:tcPr>
            <w:tcW w:type="dxa" w:w="1728"/>
          </w:tcPr>
          <w:p>
            <w:r>
              <w:t>21 ppm</w:t>
            </w:r>
          </w:p>
        </w:tc>
        <w:tc>
          <w:tcPr>
            <w:tcW w:type="dxa" w:w="1728"/>
          </w:tcPr>
          <w:p>
            <w:r>
              <w:t>verbessert</w:t>
            </w:r>
          </w:p>
        </w:tc>
      </w:tr>
      <w:tr>
        <w:tc>
          <w:tcPr>
            <w:tcW w:type="dxa" w:w="1728"/>
          </w:tcPr>
          <w:p>
            <w:r>
              <w:t>OTD (On-Time-Delivery)</w:t>
            </w:r>
          </w:p>
        </w:tc>
        <w:tc>
          <w:tcPr>
            <w:tcW w:type="dxa" w:w="1728"/>
          </w:tcPr>
          <w:p>
            <w:r>
              <w:t>&gt; 98 %</w:t>
            </w:r>
          </w:p>
        </w:tc>
        <w:tc>
          <w:tcPr>
            <w:tcW w:type="dxa" w:w="1728"/>
          </w:tcPr>
          <w:p>
            <w:r>
              <w:t>99,1 %</w:t>
            </w:r>
          </w:p>
        </w:tc>
        <w:tc>
          <w:tcPr>
            <w:tcW w:type="dxa" w:w="1728"/>
          </w:tcPr>
          <w:p>
            <w:r>
              <w:t>98,2 %</w:t>
            </w:r>
          </w:p>
        </w:tc>
        <w:tc>
          <w:tcPr>
            <w:tcW w:type="dxa" w:w="1728"/>
          </w:tcPr>
          <w:p>
            <w:r>
              <w:t>aufsteigend</w:t>
            </w:r>
          </w:p>
        </w:tc>
      </w:tr>
      <w:tr>
        <w:tc>
          <w:tcPr>
            <w:tcW w:type="dxa" w:w="1728"/>
          </w:tcPr>
          <w:p>
            <w:r>
              <w:t>Sortenwechsel/Tag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stabil</w:t>
            </w:r>
          </w:p>
        </w:tc>
      </w:tr>
      <w:tr>
        <w:tc>
          <w:tcPr>
            <w:tcW w:type="dxa" w:w="1728"/>
          </w:tcPr>
          <w:p>
            <w:r>
              <w:t>8D-Closure-Time</w:t>
            </w:r>
          </w:p>
        </w:tc>
        <w:tc>
          <w:tcPr>
            <w:tcW w:type="dxa" w:w="1728"/>
          </w:tcPr>
          <w:p>
            <w:r>
              <w:t>&lt; 60 d</w:t>
            </w:r>
          </w:p>
        </w:tc>
        <w:tc>
          <w:tcPr>
            <w:tcW w:type="dxa" w:w="1728"/>
          </w:tcPr>
          <w:p>
            <w:r>
              <w:t>47 d (Median)</w:t>
            </w:r>
          </w:p>
        </w:tc>
        <w:tc>
          <w:tcPr>
            <w:tcW w:type="dxa" w:w="1728"/>
          </w:tcPr>
          <w:p>
            <w:r>
              <w:t>55 d</w:t>
            </w:r>
          </w:p>
        </w:tc>
        <w:tc>
          <w:tcPr>
            <w:tcW w:type="dxa" w:w="1728"/>
          </w:tcPr>
          <w:p>
            <w:r>
              <w:t>verbessert</w:t>
            </w:r>
          </w:p>
        </w:tc>
      </w:tr>
      <w:tr>
        <w:tc>
          <w:tcPr>
            <w:tcW w:type="dxa" w:w="1728"/>
          </w:tcPr>
          <w:p>
            <w:r>
              <w:t>CSL-Eskalationen aktiv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io</w:t>
            </w:r>
          </w:p>
        </w:tc>
      </w:tr>
      <w:tr>
        <w:tc>
          <w:tcPr>
            <w:tcW w:type="dxa" w:w="1728"/>
          </w:tcPr>
          <w:p>
            <w:r>
              <w:t>PPM Software-Defects</w:t>
            </w:r>
          </w:p>
        </w:tc>
        <w:tc>
          <w:tcPr>
            <w:tcW w:type="dxa" w:w="1728"/>
          </w:tcPr>
          <w:p>
            <w:r>
              <w:t>&lt; 5 ppm</w:t>
            </w:r>
          </w:p>
        </w:tc>
        <w:tc>
          <w:tcPr>
            <w:tcW w:type="dxa" w:w="1728"/>
          </w:tcPr>
          <w:p>
            <w:r>
              <w:t>2 ppm</w:t>
            </w:r>
          </w:p>
        </w:tc>
        <w:tc>
          <w:tcPr>
            <w:tcW w:type="dxa" w:w="1728"/>
          </w:tcPr>
          <w:p>
            <w:r>
              <w:t>4 ppm</w:t>
            </w:r>
          </w:p>
        </w:tc>
        <w:tc>
          <w:tcPr>
            <w:tcW w:type="dxa" w:w="1728"/>
          </w:tcPr>
          <w:p>
            <w:r>
              <w:t>verbessert</w:t>
            </w:r>
          </w:p>
        </w:tc>
      </w:tr>
      <w:tr>
        <w:tc>
          <w:tcPr>
            <w:tcW w:type="dxa" w:w="1728"/>
          </w:tcPr>
          <w:p>
            <w:r>
              <w:t>NCR-Quote (open / closed)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3 / 8</w:t>
            </w:r>
          </w:p>
        </w:tc>
        <w:tc>
          <w:tcPr>
            <w:tcW w:type="dxa" w:w="1728"/>
          </w:tcPr>
          <w:p>
            <w:r>
              <w:t>5 / 11</w:t>
            </w:r>
          </w:p>
        </w:tc>
        <w:tc>
          <w:tcPr>
            <w:tcW w:type="dxa" w:w="1728"/>
          </w:tcPr>
          <w:p>
            <w:r>
              <w:t>verbessert</w:t>
            </w:r>
          </w:p>
        </w:tc>
      </w:tr>
    </w:tbl>
    <w:p>
      <w:pPr>
        <w:pStyle w:val="Heading3"/>
      </w:pPr>
      <w:r>
        <w:t>3. Top-3-Themen aus OEM-Sicht</w:t>
      </w:r>
    </w:p>
    <w:p>
      <w:pPr>
        <w:pStyle w:val="ListBullet"/>
      </w:pPr>
      <w:r>
        <w:t>Roadmap Aenderungen ECN-2023-019 (Software v1.4, Re-PPAP geplant fuer KW40)</w:t>
      </w:r>
    </w:p>
    <w:p>
      <w:pPr>
        <w:pStyle w:val="ListBullet"/>
      </w:pPr>
      <w:r>
        <w:t>Risiko Halbleiterallokation (NXP TDA4VM); REA hat Pufferbestand fuer 12 Wochen</w:t>
      </w:r>
    </w:p>
    <w:p>
      <w:pPr>
        <w:pStyle w:val="ListBullet"/>
      </w:pPr>
      <w:r>
        <w:t>Joint-CIP zur Reduktion Loetstellenfehler um 30 % bis Q4/2023; Pilotprojekt REG Linie 4</w:t>
      </w:r>
    </w:p>
    <w:p>
      <w:pPr>
        <w:pStyle w:val="Heading3"/>
      </w:pPr>
      <w:r>
        <w:t>4. Beschluesse und Aktionspunkte</w:t>
      </w:r>
    </w:p>
    <w:p>
      <w:r>
        <w:t>Folgende Themen wurden besprochen und beschlossen: (i) Joint-CIP-Programm mit 6 Workshops in 2023/2024 (Kickoff 10.07.); (ii) Vorbereitung VDA-6.3-Lieferanten-Audit fuer Q3/2023 (Lead: Marlene Schubert); (iii) gemeinsamer Risiko-Workshop EOL-Migration auf neue Pruefadapter PAd-EOL-018; (iv) bilateraler Austausch Treasury/Procurement zu Liefervereinbarungen 2024/2025; (v) Naechste QBR am 12.09.2023 vor Ort REG Heilbronn inkl. Werksbegehung. Alle Aktionspunkte werden im OEM-Q-Portal getrackt; Status-Updates monatlich.</w:t>
      </w:r>
    </w:p>
    <w:p>
      <w:pPr>
        <w:pStyle w:val="Heading3"/>
      </w:pPr>
      <w:r>
        <w:t>5. Unterschriften</w:t>
      </w:r>
    </w:p>
    <w:p>
      <w:r>
        <w:t>Ort, Datum: Singaporestraat 92-100, den 15. Juni 2023</w:t>
      </w:r>
    </w:p>
    <w:p>
      <w:r>
        <w:t>_________________________            _________________________</w:t>
        <w:br/>
        <w:t>Dr. M. Kahler                          Sabine Brand</w:t>
        <w:br/>
        <w:t>SQE                          Leitung QM Konzern</w:t>
        <w:br/>
        <w:t>Stellantis N.V.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